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B812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sz w:val="21"/>
          <w:szCs w:val="21"/>
          <w:lang w:val="en-US" w:eastAsia="zh-CN"/>
        </w:rPr>
      </w:pPr>
      <w:bookmarkStart w:id="0" w:name="_GoBack"/>
      <w:bookmarkEnd w:id="0"/>
      <w:r>
        <w:rPr>
          <w:rFonts w:hint="eastAsia" w:asciiTheme="majorEastAsia" w:hAnsiTheme="majorEastAsia" w:eastAsiaTheme="majorEastAsia" w:cstheme="majorEastAsia"/>
          <w:sz w:val="21"/>
          <w:szCs w:val="21"/>
          <w:lang w:val="en-US" w:eastAsia="zh-CN"/>
        </w:rPr>
        <w:t>通过人物语言浅析苏文纨的“围城”</w:t>
      </w:r>
    </w:p>
    <w:p w14:paraId="20F8A48B">
      <w:pPr>
        <w:keepNext w:val="0"/>
        <w:keepLines w:val="0"/>
        <w:pageBreakBefore w:val="0"/>
        <w:numPr>
          <w:ilvl w:val="0"/>
          <w:numId w:val="1"/>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前言</w:t>
      </w:r>
    </w:p>
    <w:p w14:paraId="0E91A363">
      <w:pPr>
        <w:keepNext w:val="0"/>
        <w:keepLines w:val="0"/>
        <w:pageBreakBefore w:val="0"/>
        <w:kinsoku/>
        <w:wordWrap/>
        <w:overflowPunct/>
        <w:topLinePunct w:val="0"/>
        <w:autoSpaceDE/>
        <w:autoSpaceDN/>
        <w:bidi w:val="0"/>
        <w:adjustRightInd/>
        <w:snapToGrid/>
        <w:spacing w:line="360" w:lineRule="auto"/>
        <w:ind w:firstLine="420" w:firstLine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钱钟书的《围城》一书中，“围城”这一概念被反复体味，成为一种意义广泛，内涵深远的抽象意象。前人多将目光投诸主人公方鸿渐的男性视角，专注于拆解他的“围城”。而除主人公之外，钱钟书凭借饶有趣味的语言描写，塑造的具有典型时代特征的高知女性角色苏文纨所身处的“围城”也同样耐人寻味，引人深思。在本篇论文中，笔者将依据《围城》书中从回国后方鸿渐第一次拜访苏家，到方鸿渐拒绝向苏小姐坦白他并不爱她后，苏文纨与曹元朗迅速订婚的内容，围绕对苏小姐精妙的语言描写，浅析苏文纨最典型、最浓墨重彩以及最宏大的三座“围城”。</w:t>
      </w:r>
    </w:p>
    <w:p w14:paraId="394724B2">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二、通过对苏文纨的语言描写浅析苏文纨的“围城”</w:t>
      </w:r>
    </w:p>
    <w:p w14:paraId="2A5F1A6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（一）最典型的“围城”：苏文纨与曹元朗的婚姻</w:t>
      </w:r>
    </w:p>
    <w:p w14:paraId="313D09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left="0" w:right="0" w:firstLine="420" w:firstLineChars="2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在《围城》中，钱钟书构建了一个重要概念——围城。“围城”这一意象最为人所熟知的含义便是“婚姻围城”，而“围城”一词首次出现在小说中便是用于描述婚姻关系：</w:t>
      </w:r>
    </w:p>
    <w:p w14:paraId="5A74E59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left="630" w:leftChars="300" w:right="0"/>
        <w:jc w:val="both"/>
        <w:textAlignment w:val="auto"/>
        <w:rPr>
          <w:rFonts w:hint="eastAsia" w:asciiTheme="minorEastAsia" w:hAnsiTheme="minorEastAsia" w:eastAsiaTheme="minorEastAsia" w:cstheme="minorEastAsia"/>
          <w:i w:val="0"/>
          <w:iCs w:val="0"/>
          <w:sz w:val="21"/>
          <w:szCs w:val="21"/>
          <w:lang w:val="en-US" w:eastAsia="zh-CN"/>
        </w:rPr>
      </w:pPr>
      <w:r>
        <w:rPr>
          <w:rFonts w:hint="eastAsia" w:ascii="楷体" w:hAnsi="楷体" w:eastAsia="楷体" w:cs="楷体"/>
          <w:i w:val="0"/>
          <w:iCs w:val="0"/>
          <w:sz w:val="21"/>
          <w:szCs w:val="21"/>
          <w:lang w:val="en-US" w:eastAsia="zh-CN"/>
        </w:rPr>
        <w:t>慎明道：“关于</w:t>
      </w:r>
      <w:r>
        <w:rPr>
          <w:rFonts w:hint="default" w:ascii="Times New Roman" w:hAnsi="Times New Roman" w:eastAsia="楷体" w:cs="Times New Roman"/>
          <w:i w:val="0"/>
          <w:iCs w:val="0"/>
          <w:sz w:val="21"/>
          <w:szCs w:val="21"/>
          <w:lang w:val="en-US" w:eastAsia="zh-CN"/>
        </w:rPr>
        <w:t>Bertie</w:t>
      </w:r>
      <w:r>
        <w:rPr>
          <w:rFonts w:hint="eastAsia" w:ascii="楷体" w:hAnsi="楷体" w:eastAsia="楷体" w:cs="楷体"/>
          <w:i w:val="0"/>
          <w:iCs w:val="0"/>
          <w:sz w:val="21"/>
          <w:szCs w:val="21"/>
          <w:lang w:val="en-US" w:eastAsia="zh-CN"/>
        </w:rPr>
        <w:t>结婚离婚的事，我也和他谈过。他引一句英国古话，说结婚仿佛金漆的鸟笼，笼子外面的鸟想住进去，笼内的鸟想飞出来；所以结而离，离而结，没有了局。”苏小姐道：“法国也有这么一句话。不过，不说是鸟笼，说是被围困的城堡</w:t>
      </w:r>
      <w:r>
        <w:rPr>
          <w:rFonts w:hint="default" w:ascii="Times New Roman" w:hAnsi="Times New Roman" w:eastAsia="楷体" w:cs="Times New Roman"/>
          <w:i w:val="0"/>
          <w:iCs w:val="0"/>
          <w:sz w:val="21"/>
          <w:szCs w:val="21"/>
          <w:lang w:val="en-US" w:eastAsia="zh-CN"/>
        </w:rPr>
        <w:t>fortresse assiégée</w:t>
      </w:r>
      <w:r>
        <w:rPr>
          <w:rFonts w:hint="eastAsia" w:ascii="楷体" w:hAnsi="楷体" w:eastAsia="楷体" w:cs="楷体"/>
          <w:i w:val="0"/>
          <w:iCs w:val="0"/>
          <w:sz w:val="21"/>
          <w:szCs w:val="21"/>
          <w:lang w:val="en-US" w:eastAsia="zh-CN"/>
        </w:rPr>
        <w:t>，城外的人想冲进去，城里的人想逃出来。鸿渐，是不是？”</w:t>
      </w:r>
      <w:r>
        <w:rPr>
          <w:rStyle w:val="9"/>
          <w:rFonts w:hint="eastAsia" w:asciiTheme="minorEastAsia" w:hAnsiTheme="minorEastAsia" w:eastAsiaTheme="minorEastAsia" w:cstheme="minorEastAsia"/>
          <w:i w:val="0"/>
          <w:iCs w:val="0"/>
          <w:sz w:val="21"/>
          <w:szCs w:val="21"/>
          <w:lang w:val="en-US" w:eastAsia="zh-CN"/>
        </w:rPr>
        <w:footnoteReference w:id="0"/>
      </w:r>
    </w:p>
    <w:p w14:paraId="00B039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jc w:val="both"/>
        <w:textAlignment w:val="auto"/>
        <w:rPr>
          <w:rFonts w:hint="eastAsia" w:asciiTheme="minorEastAsia" w:hAnsiTheme="minorEastAsia" w:eastAsiaTheme="minorEastAsia" w:cstheme="minorEastAsia"/>
          <w:i w:val="0"/>
          <w:iCs w:val="0"/>
          <w:sz w:val="21"/>
          <w:szCs w:val="21"/>
          <w:lang w:val="en-US" w:eastAsia="zh-CN"/>
        </w:rPr>
      </w:pPr>
      <w:r>
        <w:rPr>
          <w:rFonts w:hint="eastAsia" w:asciiTheme="minorEastAsia" w:hAnsiTheme="minorEastAsia" w:eastAsiaTheme="minorEastAsia" w:cstheme="minorEastAsia"/>
          <w:i w:val="0"/>
          <w:iCs w:val="0"/>
          <w:sz w:val="21"/>
          <w:szCs w:val="21"/>
          <w:lang w:val="en-US" w:eastAsia="zh-CN"/>
        </w:rPr>
        <w:t>围城一词首次提出正是经由苏小姐之口，而婚姻的围城的“冲进去”和“逃出来”也在她本人身上得到验证。</w:t>
      </w:r>
    </w:p>
    <w:p w14:paraId="6DE4796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firstLine="420" w:firstLineChars="0"/>
        <w:jc w:val="both"/>
        <w:textAlignment w:val="auto"/>
        <w:rPr>
          <w:rFonts w:hint="eastAsia" w:asciiTheme="minorEastAsia" w:hAnsiTheme="minorEastAsia" w:eastAsiaTheme="minorEastAsia" w:cstheme="minorEastAsia"/>
          <w:i w:val="0"/>
          <w:iCs w:val="0"/>
          <w:sz w:val="21"/>
          <w:szCs w:val="21"/>
          <w:lang w:val="en-US" w:eastAsia="zh-CN"/>
        </w:rPr>
      </w:pPr>
      <w:r>
        <w:rPr>
          <w:rFonts w:hint="eastAsia" w:asciiTheme="minorEastAsia" w:hAnsiTheme="minorEastAsia" w:eastAsiaTheme="minorEastAsia" w:cstheme="minorEastAsia"/>
          <w:i w:val="0"/>
          <w:iCs w:val="0"/>
          <w:sz w:val="21"/>
          <w:szCs w:val="21"/>
          <w:lang w:val="en-US" w:eastAsia="zh-CN"/>
        </w:rPr>
        <w:t>在苏、方二人接吻，方鸿渐仓皇逃跑后，苏文纨目送他离开后，“又记起曹元朗的诗，不禁一阵厌恶”。</w:t>
      </w:r>
      <w:r>
        <w:rPr>
          <w:rStyle w:val="9"/>
          <w:rFonts w:hint="eastAsia" w:asciiTheme="minorEastAsia" w:hAnsiTheme="minorEastAsia" w:eastAsiaTheme="minorEastAsia" w:cstheme="minorEastAsia"/>
          <w:i w:val="0"/>
          <w:iCs w:val="0"/>
          <w:sz w:val="21"/>
          <w:szCs w:val="21"/>
          <w:lang w:val="en-US" w:eastAsia="zh-CN"/>
        </w:rPr>
        <w:footnoteReference w:id="1"/>
      </w:r>
      <w:r>
        <w:rPr>
          <w:rFonts w:hint="eastAsia" w:asciiTheme="minorEastAsia" w:hAnsiTheme="minorEastAsia" w:eastAsiaTheme="minorEastAsia" w:cstheme="minorEastAsia"/>
          <w:i w:val="0"/>
          <w:iCs w:val="0"/>
          <w:sz w:val="21"/>
          <w:szCs w:val="21"/>
          <w:lang w:val="en-US" w:eastAsia="zh-CN"/>
        </w:rPr>
        <w:t>她的厌恶不仅是对于曹元朗的诗句，也是对于曹元朗这个脑内空虚又乐于卖弄的人。她对曹元朗的感情不是爱，因而便无可避免在婚后产生“逃出来”的心理。</w:t>
      </w:r>
    </w:p>
    <w:p w14:paraId="15FFEF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firstLine="420" w:firstLineChars="0"/>
        <w:jc w:val="both"/>
        <w:textAlignment w:val="auto"/>
        <w:rPr>
          <w:rFonts w:hint="eastAsia" w:asciiTheme="minorEastAsia" w:hAnsiTheme="minorEastAsia" w:eastAsiaTheme="minorEastAsia" w:cstheme="minorEastAsia"/>
          <w:i w:val="0"/>
          <w:iCs w:val="0"/>
          <w:sz w:val="21"/>
          <w:szCs w:val="21"/>
          <w:lang w:val="en-US" w:eastAsia="zh-CN"/>
        </w:rPr>
      </w:pPr>
      <w:r>
        <w:rPr>
          <w:rFonts w:hint="eastAsia" w:asciiTheme="minorEastAsia" w:hAnsiTheme="minorEastAsia" w:eastAsiaTheme="minorEastAsia" w:cstheme="minorEastAsia"/>
          <w:i w:val="0"/>
          <w:iCs w:val="0"/>
          <w:sz w:val="21"/>
          <w:szCs w:val="21"/>
          <w:lang w:val="en-US" w:eastAsia="zh-CN"/>
        </w:rPr>
        <w:t>而苏小姐迅速与曹元朗订婚，同样经过了多方权衡考虑。首先，“冲进去”的导火索是方鸿渐对她的拒绝伤害了她的自尊，她迫切需要寻求一个爱慕她的男人，向所有人展示，自己并不缺人追求，方鸿渐的拒绝对自己而言无足轻重。其次，苏小姐自知并不年轻，在“女大当嫁”的社会期许下，苏小姐不愿继续等待。况且，曹元朗家与苏家是世交，曹元朗又是一位在剑桥这等名校念文学的新诗诗人，苏、曹二人可谓门当户对。更为关键的是，曹元朗有着赵辛楣所不具备的讨好苏文纨的本领，这刚好能够满足苏文纨对婚姻关系的完全控制。</w:t>
      </w:r>
    </w:p>
    <w:p w14:paraId="130E633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（二）最浓墨重彩的“围城”：对被男人们争抢的渴望</w:t>
      </w:r>
    </w:p>
    <w:p w14:paraId="6641DAA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firstLine="420" w:firstLine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其实在整本书中，苏文纨身上体现的最明显，也最淋漓尽致的，是她执着于被众多男人争抢的这座“围城”。苏文纨热衷于刻意出言暧昧，挑拨男人为她争风吃醋。比如，在苏方二人回国之后，方鸿渐首次前往苏家拜访时，赵辛楣未出场时，苏文纨一直称方鸿渐为“方先生”，而在赵辛楣出场后，她则亲热地改口“鸿渐”，“喜欢赵方二人斗法比武抢自己”。</w:t>
      </w:r>
      <w:r>
        <w:rPr>
          <w:rStyle w:val="9"/>
          <w:rFonts w:hint="eastAsia" w:asciiTheme="minorEastAsia" w:hAnsiTheme="minorEastAsia" w:eastAsiaTheme="minorEastAsia" w:cstheme="minorEastAsia"/>
          <w:sz w:val="21"/>
          <w:szCs w:val="21"/>
          <w:lang w:val="en-US" w:eastAsia="zh-CN"/>
        </w:rPr>
        <w:footnoteReference w:id="2"/>
      </w:r>
      <w:r>
        <w:rPr>
          <w:rFonts w:hint="eastAsia" w:asciiTheme="minorEastAsia" w:hAnsiTheme="minorEastAsia" w:eastAsiaTheme="minorEastAsia" w:cstheme="minorEastAsia"/>
          <w:sz w:val="21"/>
          <w:szCs w:val="21"/>
          <w:lang w:eastAsia="zh-CN"/>
        </w:rPr>
        <w:t>后来，苏小姐借病推脱方鸿渐的邀请后，又自己主动</w:t>
      </w:r>
      <w:r>
        <w:rPr>
          <w:rFonts w:hint="eastAsia" w:asciiTheme="minorEastAsia" w:hAnsiTheme="minorEastAsia" w:eastAsiaTheme="minorEastAsia" w:cstheme="minorEastAsia"/>
          <w:sz w:val="21"/>
          <w:szCs w:val="21"/>
          <w:lang w:val="en-US" w:eastAsia="zh-CN"/>
        </w:rPr>
        <w:t>交代她</w:t>
      </w:r>
      <w:r>
        <w:rPr>
          <w:rFonts w:hint="eastAsia" w:asciiTheme="minorEastAsia" w:hAnsiTheme="minorEastAsia" w:eastAsiaTheme="minorEastAsia" w:cstheme="minorEastAsia"/>
          <w:sz w:val="21"/>
          <w:szCs w:val="21"/>
          <w:lang w:eastAsia="zh-CN"/>
        </w:rPr>
        <w:t>没有应邀前去聚餐</w:t>
      </w:r>
      <w:r>
        <w:rPr>
          <w:rFonts w:hint="eastAsia" w:asciiTheme="minorEastAsia" w:hAnsiTheme="minorEastAsia" w:eastAsiaTheme="minorEastAsia" w:cstheme="minorEastAsia"/>
          <w:sz w:val="21"/>
          <w:szCs w:val="21"/>
          <w:lang w:val="en-US" w:eastAsia="zh-CN"/>
        </w:rPr>
        <w:t>却</w:t>
      </w:r>
      <w:r>
        <w:rPr>
          <w:rFonts w:hint="eastAsia" w:asciiTheme="minorEastAsia" w:hAnsiTheme="minorEastAsia" w:eastAsiaTheme="minorEastAsia" w:cstheme="minorEastAsia"/>
          <w:sz w:val="21"/>
          <w:szCs w:val="21"/>
          <w:lang w:eastAsia="zh-CN"/>
        </w:rPr>
        <w:t>与</w:t>
      </w:r>
      <w:r>
        <w:rPr>
          <w:rFonts w:hint="eastAsia" w:asciiTheme="minorEastAsia" w:hAnsiTheme="minorEastAsia" w:eastAsiaTheme="minorEastAsia" w:cstheme="minorEastAsia"/>
          <w:sz w:val="21"/>
          <w:szCs w:val="21"/>
          <w:lang w:val="en-US" w:eastAsia="zh-CN"/>
        </w:rPr>
        <w:t>曹元朗见面，并且刻意点出曹元朗在剑桥念书，两家又是世交。苏文纨不知道方鸿渐不喜欢她，想要借此让方鸿渐吃醋，刺激他对自己示爱。但由于方鸿渐此时爱着唐晓芙，因此苏文纨并未得逞。更有趣的是，在众人谈论新诗时，苏文纨更是顺水推舟地把王尔恺落款的录有情诗的珍贵折扇拿给曹元朗和方鸿渐看，并且扭捏作态，并不讲明这折扇和情诗的真实来历，只为让曹元朗和方鸿渐猜测王尔恺又是苏小姐的爱慕者，进而产生吃醋的心理。至赵辛楣请客前苏方二人通电话，苏文纨更是直接说“他（赵辛楣）三天两天写信给我，信上的话我也不必说，可是每封信都说他失眠，看了讨厌！谁叫他失眠的，跟我有什么关系？我又不是医生！”可事实是“苏小姐深知他失眠跟自己大有关系，不必请教医生”，</w:t>
      </w:r>
      <w:r>
        <w:rPr>
          <w:rStyle w:val="9"/>
          <w:rFonts w:hint="eastAsia" w:asciiTheme="minorEastAsia" w:hAnsiTheme="minorEastAsia" w:eastAsiaTheme="minorEastAsia" w:cstheme="minorEastAsia"/>
          <w:sz w:val="21"/>
          <w:szCs w:val="21"/>
          <w:lang w:val="en-US" w:eastAsia="zh-CN"/>
        </w:rPr>
        <w:footnoteReference w:id="3"/>
      </w:r>
      <w:r>
        <w:rPr>
          <w:rFonts w:hint="eastAsia" w:asciiTheme="minorEastAsia" w:hAnsiTheme="minorEastAsia" w:eastAsiaTheme="minorEastAsia" w:cstheme="minorEastAsia"/>
          <w:sz w:val="21"/>
          <w:szCs w:val="21"/>
          <w:lang w:val="en-US" w:eastAsia="zh-CN"/>
        </w:rPr>
        <w:t>她也因赵辛楣为自己牵肠挂肚而格外得意。除此四处之外，能够证实苏小姐想要“冲进”男人追捧的中心的依据也有多处可圈可点。但不难看出，苏文纨说出这些话术，使用的这些伎俩，矛头的核心都指向方鸿渐，苏小姐最渴望的是方鸿渐向她示爱，是这一个人的爱慕。并且，苏文纨内心深处实际上以玩弄大把男人的行为为耻。为了打消方鸿渐对唐晓芙的喜爱，苏文纨私下说唐晓芙“人虽小，本领大得很，她抓一把男朋友在手里玩弄着呢”，</w:t>
      </w:r>
      <w:r>
        <w:rPr>
          <w:rStyle w:val="9"/>
          <w:rFonts w:hint="eastAsia" w:asciiTheme="minorEastAsia" w:hAnsiTheme="minorEastAsia" w:eastAsiaTheme="minorEastAsia" w:cstheme="minorEastAsia"/>
          <w:sz w:val="21"/>
          <w:szCs w:val="21"/>
          <w:lang w:val="en-US" w:eastAsia="zh-CN"/>
        </w:rPr>
        <w:footnoteReference w:id="4"/>
      </w:r>
      <w:r>
        <w:rPr>
          <w:rFonts w:hint="eastAsia" w:asciiTheme="minorEastAsia" w:hAnsiTheme="minorEastAsia" w:eastAsiaTheme="minorEastAsia" w:cstheme="minorEastAsia"/>
          <w:sz w:val="21"/>
          <w:szCs w:val="21"/>
          <w:lang w:val="en-US" w:eastAsia="zh-CN"/>
        </w:rPr>
        <w:t>正足以说明，苏文纨对于耍手段玩弄男人的行为感到不齿。苏文纨期望“逃出”借其他男人刺激、引导方鸿渐的循环，期待方鸿渐能够主动地、无需引导地向她表达爱意。</w:t>
      </w:r>
    </w:p>
    <w:p w14:paraId="0E529D4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（三）</w:t>
      </w:r>
      <w:r>
        <w:rPr>
          <w:rFonts w:hint="eastAsia" w:asciiTheme="minorEastAsia" w:hAnsiTheme="minorEastAsia" w:eastAsiaTheme="minorEastAsia" w:cstheme="minorEastAsia"/>
          <w:sz w:val="21"/>
          <w:szCs w:val="21"/>
          <w:lang w:val="en-US" w:eastAsia="zh-CN"/>
        </w:rPr>
        <w:t>最宏大的围城：男权社会中以苏文纨为代表的女性无法独立掌控自身命运</w:t>
      </w:r>
    </w:p>
    <w:p w14:paraId="30610BF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firstLine="420" w:firstLine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似乎每当提到方鸿渐的“围城”，便自然想到职业、恋爱和婚姻的三重含义，但提到苏文纨的“围城”，能够想到的就只有恋爱、婚姻这两层。这不是分析的欠缺，而是钱锺书在《围城》中根本没有提及苏小姐的事业。小说中将苏文纨塑造为一个学术成就颇高的女性，但即使是这样的女性也难逃两性关系中恋爱婚姻的围城，这背后的根源问题需要聚焦于男权社会中女性无法独立掌控自身命运的问题。</w:t>
      </w:r>
    </w:p>
    <w:p w14:paraId="3150707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firstLine="420" w:firstLine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《围城》写作的时代背景是20世纪30年代的中国社会，彼时男性话语体系中女性的被动沉默正在被逐渐削弱，</w:t>
      </w:r>
      <w:r>
        <w:rPr>
          <w:rFonts w:hint="eastAsia" w:asciiTheme="minorEastAsia" w:hAnsiTheme="minorEastAsia" w:cstheme="minorEastAsia"/>
          <w:sz w:val="21"/>
          <w:szCs w:val="21"/>
          <w:lang w:val="en-US" w:eastAsia="zh-CN"/>
        </w:rPr>
        <w:t>正如耿立在对于《围城》中对西方文化冲击下女性命运的转变所说，“</w:t>
      </w:r>
      <w:r>
        <w:rPr>
          <w:rFonts w:hint="eastAsia" w:ascii="宋体" w:hAnsi="宋体" w:eastAsia="宋体" w:cs="宋体"/>
          <w:i w:val="0"/>
          <w:iCs w:val="0"/>
          <w:caps w:val="0"/>
          <w:color w:val="333333"/>
          <w:spacing w:val="0"/>
          <w:sz w:val="21"/>
          <w:szCs w:val="21"/>
        </w:rPr>
        <w:t>传统文化的围城束缚下，她们对婚姻爱情的大胆追求，使她们从原来的服从，变为了勾引、诱惑</w:t>
      </w:r>
      <w:r>
        <w:rPr>
          <w:rFonts w:hint="eastAsia" w:ascii="宋体" w:hAnsi="宋体" w:eastAsia="宋体" w:cs="宋体"/>
          <w:i w:val="0"/>
          <w:iCs w:val="0"/>
          <w:caps w:val="0"/>
          <w:color w:val="333333"/>
          <w:spacing w:val="0"/>
          <w:sz w:val="21"/>
          <w:szCs w:val="21"/>
          <w:lang w:eastAsia="zh-CN"/>
        </w:rPr>
        <w:t>”，</w:t>
      </w:r>
      <w:r>
        <w:rPr>
          <w:rStyle w:val="9"/>
          <w:rFonts w:hint="eastAsia" w:ascii="宋体" w:hAnsi="宋体" w:eastAsia="宋体" w:cs="宋体"/>
          <w:i w:val="0"/>
          <w:iCs w:val="0"/>
          <w:caps w:val="0"/>
          <w:color w:val="333333"/>
          <w:spacing w:val="0"/>
          <w:sz w:val="21"/>
          <w:szCs w:val="21"/>
          <w:lang w:eastAsia="zh-CN"/>
        </w:rPr>
        <w:footnoteReference w:id="5"/>
      </w:r>
      <w:r>
        <w:rPr>
          <w:rFonts w:hint="eastAsia" w:asciiTheme="minorEastAsia" w:hAnsiTheme="minorEastAsia" w:eastAsiaTheme="minorEastAsia" w:cstheme="minorEastAsia"/>
          <w:sz w:val="21"/>
          <w:szCs w:val="21"/>
          <w:lang w:val="en-US" w:eastAsia="zh-CN"/>
        </w:rPr>
        <w:t>当女性发出自己的声音时，仍然摆脱不了几千年的男权社会规训的洗脑：</w:t>
      </w:r>
    </w:p>
    <w:p w14:paraId="54A4E34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left="630" w:leftChars="300"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楷体" w:hAnsi="楷体" w:eastAsia="楷体" w:cs="楷体"/>
          <w:sz w:val="21"/>
          <w:szCs w:val="21"/>
          <w:lang w:val="en-US" w:eastAsia="zh-CN"/>
        </w:rPr>
        <w:t>《围城》不仅是一部“儒林外史”，它还喻示着另一个现代知识女性群落的真实的生存状态：她们是已接受过现代教育的、取得了经济独立的“娜拉”们，她们虽比传统女性具有明显的进步性，然而在上个世纪三四十年代那个鼓吹个性解放男女平等观念的中国社会里，不论她们怎样打拼，都无法因此而走向幸福，相反不得不面临新的尴尬与不幸，尤其是难以摆脱精神的依附性。</w:t>
      </w:r>
      <w:r>
        <w:rPr>
          <w:rStyle w:val="9"/>
          <w:rFonts w:hint="eastAsia" w:asciiTheme="minorEastAsia" w:hAnsiTheme="minorEastAsia" w:eastAsiaTheme="minorEastAsia" w:cstheme="minorEastAsia"/>
          <w:sz w:val="21"/>
          <w:szCs w:val="21"/>
          <w:lang w:val="en-US" w:eastAsia="zh-CN"/>
        </w:rPr>
        <w:footnoteReference w:id="6"/>
      </w:r>
    </w:p>
    <w:p w14:paraId="24F2ACB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海归女博士苏文纨身上，“精神的依附性”得到鲜明体现。苏文纨“喜欢赵方二人斗法比武抢自己”，并且不仅止于二人，王尔恺、曹元朗在她眼中也成为略施言语便能调动的爱慕者。而主观意识上，苏文纨这种将吸引的男人的数量与女人的价值紧密绑定的思想，实质则是将女性价值交由男性判断，消解了女性的独立价值。在这样的前提下，女性独立便成为了苏文纨生命中最为宏大最为抽象的围城。苏文纨对于两性关系总是渴望成为掌控局面的那一方，这正是高知女性从传统两性观念中抽离的初步探索。在回国后，苏方二人来往期间，方鸿渐态度暧昧，模棱两可；苏文纨步步紧逼，恩威并施。看似是苏文纨主导感情的走向，实则是方鸿渐一直逢场作戏，对苏文纨隐瞒自己的真实感受，才导致苏文纨自然地相信自己的步步引导让方鸿渐很受用，误以为自己掌控了局面</w:t>
      </w:r>
      <w:r>
        <w:rPr>
          <w:rFonts w:hint="eastAsia" w:asciiTheme="minorEastAsia" w:hAnsiTheme="minorEastAsia" w:cstheme="minorEastAsia"/>
          <w:sz w:val="21"/>
          <w:szCs w:val="21"/>
          <w:lang w:val="en-US" w:eastAsia="zh-CN"/>
        </w:rPr>
        <w:t>，但到最后终究是方鸿渐的一封拒绝信侮辱了苏小姐的自尊心，“</w:t>
      </w:r>
      <w:r>
        <w:rPr>
          <w:rFonts w:hint="eastAsia" w:asciiTheme="minorEastAsia" w:hAnsiTheme="minorEastAsia" w:eastAsiaTheme="minorEastAsia" w:cstheme="minorEastAsia"/>
          <w:i w:val="0"/>
          <w:iCs w:val="0"/>
          <w:caps w:val="0"/>
          <w:color w:val="333333"/>
          <w:spacing w:val="0"/>
          <w:sz w:val="21"/>
          <w:szCs w:val="21"/>
        </w:rPr>
        <w:t>对于她来说是一个不可抹去的阴影和伤痛，这也是男性本位思想下的女性知识分子的悲哀</w:t>
      </w:r>
      <w:r>
        <w:rPr>
          <w:rFonts w:hint="eastAsia" w:asciiTheme="minorEastAsia" w:hAnsiTheme="minorEastAsia" w:cstheme="minorEastAsia"/>
          <w:i w:val="0"/>
          <w:iCs w:val="0"/>
          <w:caps w:val="0"/>
          <w:color w:val="333333"/>
          <w:spacing w:val="0"/>
          <w:sz w:val="21"/>
          <w:szCs w:val="21"/>
          <w:lang w:eastAsia="zh-CN"/>
        </w:rPr>
        <w:t>”</w:t>
      </w:r>
      <w:r>
        <w:rPr>
          <w:rFonts w:hint="eastAsia" w:asciiTheme="minorEastAsia" w:hAnsiTheme="minorEastAsia" w:eastAsiaTheme="minorEastAsia" w:cstheme="minorEastAsia"/>
          <w:sz w:val="21"/>
          <w:szCs w:val="21"/>
          <w:lang w:val="en-US" w:eastAsia="zh-CN"/>
        </w:rPr>
        <w:t>。</w:t>
      </w:r>
      <w:r>
        <w:rPr>
          <w:rStyle w:val="9"/>
          <w:rFonts w:hint="eastAsia" w:asciiTheme="minorEastAsia" w:hAnsiTheme="minorEastAsia" w:eastAsiaTheme="minorEastAsia" w:cstheme="minorEastAsia"/>
          <w:sz w:val="21"/>
          <w:szCs w:val="21"/>
          <w:lang w:val="en-US" w:eastAsia="zh-CN"/>
        </w:rPr>
        <w:footnoteReference w:id="7"/>
      </w:r>
      <w:r>
        <w:rPr>
          <w:rFonts w:hint="eastAsia" w:asciiTheme="minorEastAsia" w:hAnsiTheme="minorEastAsia" w:eastAsiaTheme="minorEastAsia" w:cstheme="minorEastAsia"/>
          <w:sz w:val="21"/>
          <w:szCs w:val="21"/>
          <w:lang w:val="en-US" w:eastAsia="zh-CN"/>
        </w:rPr>
        <w:t>其实回归小说本身，在苏方二人来往期间，两人总共通了三次电话，而这三次都是苏文纨主动打给方鸿渐的，另外，又有苏小姐打给唐晓芙的三通电话，只为阻止唐方二人单独见面。表面上看</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男人们被苏文纨玩弄于股掌之间，但苏文纨对于得到男人的爱慕的过分执着，甚至是为了引导对方与自己恋爱而自己主动付出，其实正是她在精神上对于男性的依附性的具体体现。</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i w:val="0"/>
          <w:iCs w:val="0"/>
          <w:caps w:val="0"/>
          <w:color w:val="333333"/>
          <w:spacing w:val="0"/>
          <w:sz w:val="21"/>
          <w:szCs w:val="21"/>
        </w:rPr>
        <w:t>传统的家庭观念遏制了她们思想的继续前进，从家庭里冲出去却又不自觉的走进去，无法超越这种内在的困境，囿于其中，最终以失败告终，即便接受了新的教育与知识，但仍然在骨子里摆脱不了依附的心态</w:t>
      </w:r>
      <w:r>
        <w:rPr>
          <w:rFonts w:hint="eastAsia" w:asciiTheme="minorEastAsia" w:hAnsiTheme="minorEastAsia" w:cstheme="minorEastAsia"/>
          <w:i w:val="0"/>
          <w:iCs w:val="0"/>
          <w:caps w:val="0"/>
          <w:color w:val="333333"/>
          <w:spacing w:val="0"/>
          <w:sz w:val="21"/>
          <w:szCs w:val="21"/>
          <w:lang w:eastAsia="zh-CN"/>
        </w:rPr>
        <w:t>”</w:t>
      </w:r>
      <w:r>
        <w:rPr>
          <w:rFonts w:hint="eastAsia" w:asciiTheme="minorEastAsia" w:hAnsiTheme="minorEastAsia" w:eastAsiaTheme="minorEastAsia" w:cstheme="minorEastAsia"/>
          <w:sz w:val="21"/>
          <w:szCs w:val="21"/>
          <w:lang w:val="en-US" w:eastAsia="zh-CN"/>
        </w:rPr>
        <w:t>，</w:t>
      </w:r>
      <w:r>
        <w:rPr>
          <w:rStyle w:val="9"/>
          <w:rFonts w:hint="eastAsia" w:asciiTheme="minorEastAsia" w:hAnsiTheme="minorEastAsia" w:eastAsiaTheme="minorEastAsia" w:cstheme="minorEastAsia"/>
          <w:sz w:val="21"/>
          <w:szCs w:val="21"/>
          <w:lang w:val="en-US" w:eastAsia="zh-CN"/>
        </w:rPr>
        <w:footnoteReference w:id="8"/>
      </w:r>
      <w:r>
        <w:rPr>
          <w:rFonts w:hint="eastAsia" w:asciiTheme="minorEastAsia" w:hAnsiTheme="minorEastAsia" w:eastAsiaTheme="minorEastAsia" w:cstheme="minorEastAsia"/>
          <w:sz w:val="21"/>
          <w:szCs w:val="21"/>
          <w:lang w:val="en-US" w:eastAsia="zh-CN"/>
        </w:rPr>
        <w:t>最终只得步入一段没有感情的婚姻，成为一场必然的悲剧。</w:t>
      </w:r>
    </w:p>
    <w:p w14:paraId="4119B300">
      <w:pPr>
        <w:keepNext w:val="0"/>
        <w:keepLines w:val="0"/>
        <w:pageBreakBefore w:val="0"/>
        <w:numPr>
          <w:ilvl w:val="0"/>
          <w:numId w:val="2"/>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总结</w:t>
      </w:r>
    </w:p>
    <w:p w14:paraId="6D5A8FC3">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i w:val="0"/>
          <w:iCs w:val="0"/>
          <w:caps w:val="0"/>
          <w:color w:val="333333"/>
          <w:spacing w:val="0"/>
          <w:sz w:val="21"/>
          <w:szCs w:val="21"/>
          <w:lang w:eastAsia="zh-CN"/>
        </w:rPr>
        <w:t>“</w:t>
      </w:r>
      <w:r>
        <w:rPr>
          <w:rFonts w:hint="eastAsia" w:asciiTheme="minorEastAsia" w:hAnsiTheme="minorEastAsia" w:eastAsiaTheme="minorEastAsia" w:cstheme="minorEastAsia"/>
          <w:i w:val="0"/>
          <w:iCs w:val="0"/>
          <w:caps w:val="0"/>
          <w:color w:val="333333"/>
          <w:spacing w:val="0"/>
          <w:sz w:val="21"/>
          <w:szCs w:val="21"/>
        </w:rPr>
        <w:t>城堡外表的光鲜亮丽意味着人生理想的美好，为此，城外的人都想冲进城内。当城内的人体会到了城内真实的生活，愈发感受到自己美好的愿望与城内现实生活的差距，不断地被现实生活所打压，以至精神萎靡不振，最后对现实生活感到失望。</w:t>
      </w:r>
      <w:r>
        <w:rPr>
          <w:rFonts w:hint="eastAsia" w:asciiTheme="minorEastAsia" w:hAnsiTheme="minorEastAsia" w:cstheme="minorEastAsia"/>
          <w:i w:val="0"/>
          <w:iCs w:val="0"/>
          <w:caps w:val="0"/>
          <w:color w:val="333333"/>
          <w:spacing w:val="0"/>
          <w:sz w:val="21"/>
          <w:szCs w:val="21"/>
          <w:lang w:eastAsia="zh-CN"/>
        </w:rPr>
        <w:t>”</w:t>
      </w:r>
      <w:r>
        <w:rPr>
          <w:rStyle w:val="9"/>
          <w:rFonts w:hint="eastAsia" w:asciiTheme="minorEastAsia" w:hAnsiTheme="minorEastAsia" w:cstheme="minorEastAsia"/>
          <w:i w:val="0"/>
          <w:iCs w:val="0"/>
          <w:caps w:val="0"/>
          <w:color w:val="333333"/>
          <w:spacing w:val="0"/>
          <w:sz w:val="21"/>
          <w:szCs w:val="21"/>
          <w:lang w:eastAsia="zh-CN"/>
        </w:rPr>
        <w:footnoteReference w:id="9"/>
      </w:r>
      <w:r>
        <w:rPr>
          <w:rFonts w:hint="eastAsia" w:asciiTheme="minorEastAsia" w:hAnsiTheme="minorEastAsia" w:eastAsiaTheme="minorEastAsia" w:cstheme="minorEastAsia"/>
          <w:sz w:val="21"/>
          <w:szCs w:val="21"/>
          <w:lang w:val="en-US" w:eastAsia="zh-CN"/>
        </w:rPr>
        <w:t>通过对《围城》中苏文纨的语言描写的，笔者着重分析了苏文纨与曹元朗的婚姻、与赵方二人的纠葛、在男权社会中的挣扎这三座“围城”的形成与构成</w:t>
      </w:r>
      <w:r>
        <w:rPr>
          <w:rFonts w:hint="eastAsia" w:asciiTheme="minorEastAsia" w:hAnsiTheme="minorEastAsia" w:cstheme="minorEastAsia"/>
          <w:sz w:val="21"/>
          <w:szCs w:val="21"/>
          <w:lang w:val="en-US" w:eastAsia="zh-CN"/>
        </w:rPr>
        <w:t>，弥补了文学领域中</w:t>
      </w:r>
      <w:r>
        <w:rPr>
          <w:rFonts w:hint="eastAsia" w:asciiTheme="minorEastAsia" w:hAnsiTheme="minorEastAsia" w:eastAsiaTheme="minorEastAsia" w:cstheme="minorEastAsia"/>
          <w:sz w:val="21"/>
          <w:szCs w:val="21"/>
          <w:lang w:val="en-US" w:eastAsia="zh-CN"/>
        </w:rPr>
        <w:t>。本论文在主角的身后看到配角的围城，跳出前人围绕方鸿渐分析苏文纨的“围城”的固定视角，从人物语言描写的角度，赋予钱钟书的《围城》中的“围城”一词更为丰富的内涵解释。</w:t>
      </w:r>
    </w:p>
    <w:p w14:paraId="78CC455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（字数：3730）</w:t>
      </w:r>
    </w:p>
    <w:p w14:paraId="2564066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p>
    <w:p w14:paraId="13BBA82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参考文献：</w:t>
      </w:r>
    </w:p>
    <w:p w14:paraId="4981AF4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钱钟书：《围城》，北京：人民文学出版社，2023年。</w:t>
      </w:r>
    </w:p>
    <w:p w14:paraId="101AA5C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耿立：《论</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cstheme="minorEastAsia"/>
          <w:sz w:val="21"/>
          <w:szCs w:val="21"/>
          <w:lang w:val="en-US" w:eastAsia="zh-CN"/>
        </w:rPr>
        <w:t>围城</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eastAsiaTheme="minorEastAsia" w:cstheme="minorEastAsia"/>
          <w:sz w:val="21"/>
          <w:szCs w:val="21"/>
          <w:lang w:val="en-US" w:eastAsia="zh-CN"/>
        </w:rPr>
        <w:t>中女性形象》，《北方文学》2020年第20期</w:t>
      </w:r>
      <w:r>
        <w:rPr>
          <w:rFonts w:hint="eastAsia" w:asciiTheme="minorEastAsia" w:hAnsiTheme="minorEastAsia" w:cstheme="minorEastAsia"/>
          <w:sz w:val="21"/>
          <w:szCs w:val="21"/>
          <w:lang w:val="en-US" w:eastAsia="zh-CN"/>
        </w:rPr>
        <w:t>。</w:t>
      </w:r>
    </w:p>
    <w:p w14:paraId="496E0B5A">
      <w:pPr>
        <w:pStyle w:val="5"/>
        <w:keepNext w:val="0"/>
        <w:keepLines w:val="0"/>
        <w:pageBreakBefore w:val="0"/>
        <w:kinsoku/>
        <w:wordWrap/>
        <w:overflowPunct/>
        <w:topLinePunct w:val="0"/>
        <w:autoSpaceDE/>
        <w:autoSpaceDN/>
        <w:bidi w:val="0"/>
        <w:adjustRightInd/>
        <w:snapToGrid w:val="0"/>
        <w:spacing w:line="360" w:lineRule="auto"/>
        <w:jc w:val="both"/>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刘国珍：《突围与自困：</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eastAsiaTheme="minorEastAsia" w:cstheme="minorEastAsia"/>
          <w:sz w:val="21"/>
          <w:szCs w:val="21"/>
          <w:lang w:val="en-US" w:eastAsia="zh-CN"/>
        </w:rPr>
        <w:t>围城</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eastAsiaTheme="minorEastAsia" w:cstheme="minorEastAsia"/>
          <w:sz w:val="21"/>
          <w:szCs w:val="21"/>
          <w:lang w:val="en-US" w:eastAsia="zh-CN"/>
        </w:rPr>
        <w:t>中的两位女性知识分子》，</w:t>
      </w:r>
      <w:r>
        <w:rPr>
          <w:rFonts w:hint="eastAsia" w:asciiTheme="minorEastAsia" w:hAnsiTheme="minorEastAsia" w:cstheme="minorEastAsia"/>
          <w:sz w:val="21"/>
          <w:szCs w:val="21"/>
          <w:lang w:val="en-US" w:eastAsia="zh-CN"/>
        </w:rPr>
        <w:t>吉林大学，2012年。</w:t>
      </w:r>
    </w:p>
    <w:p w14:paraId="796121A0">
      <w:pPr>
        <w:pStyle w:val="5"/>
        <w:keepNext w:val="0"/>
        <w:keepLines w:val="0"/>
        <w:pageBreakBefore w:val="0"/>
        <w:kinsoku/>
        <w:wordWrap/>
        <w:overflowPunct/>
        <w:topLinePunct w:val="0"/>
        <w:autoSpaceDE/>
        <w:autoSpaceDN/>
        <w:bidi w:val="0"/>
        <w:adjustRightInd/>
        <w:snapToGrid w:val="0"/>
        <w:spacing w:line="360" w:lineRule="auto"/>
        <w:jc w:val="both"/>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贾旭东，穆阳：《</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cstheme="minorEastAsia"/>
          <w:sz w:val="21"/>
          <w:szCs w:val="21"/>
          <w:lang w:val="en-US" w:eastAsia="zh-CN"/>
        </w:rPr>
        <w:t>围城</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cstheme="minorEastAsia"/>
          <w:sz w:val="21"/>
          <w:szCs w:val="21"/>
          <w:lang w:val="en-US" w:eastAsia="zh-CN"/>
        </w:rPr>
        <w:t>中两位女性知识分子的突围与自困探究》，《产业与科技论坛》2017年第14期。</w:t>
      </w:r>
    </w:p>
    <w:p w14:paraId="5F8E3D1B">
      <w:pPr>
        <w:pStyle w:val="5"/>
        <w:keepNext w:val="0"/>
        <w:keepLines w:val="0"/>
        <w:pageBreakBefore w:val="0"/>
        <w:kinsoku/>
        <w:wordWrap/>
        <w:overflowPunct/>
        <w:topLinePunct w:val="0"/>
        <w:autoSpaceDE/>
        <w:autoSpaceDN/>
        <w:bidi w:val="0"/>
        <w:adjustRightInd/>
        <w:snapToGrid w:val="0"/>
        <w:spacing w:line="360" w:lineRule="auto"/>
        <w:jc w:val="both"/>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任晓娟：《</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eastAsiaTheme="minorEastAsia" w:cstheme="minorEastAsia"/>
          <w:sz w:val="21"/>
          <w:szCs w:val="21"/>
          <w:lang w:val="en-US" w:eastAsia="zh-CN"/>
        </w:rPr>
        <w:t>围城</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eastAsiaTheme="minorEastAsia" w:cstheme="minorEastAsia"/>
          <w:sz w:val="21"/>
          <w:szCs w:val="21"/>
          <w:lang w:val="en-US" w:eastAsia="zh-CN"/>
        </w:rPr>
        <w:t>的女性叙述话语浅析》，《陇东学院学报》2021年第4期</w:t>
      </w:r>
      <w:r>
        <w:rPr>
          <w:rFonts w:hint="eastAsia" w:asciiTheme="minorEastAsia" w:hAnsiTheme="minorEastAsia" w:cstheme="minorEastAsia"/>
          <w:sz w:val="21"/>
          <w:szCs w:val="21"/>
          <w:lang w:val="en-US" w:eastAsia="zh-CN"/>
        </w:rPr>
        <w:t>。</w:t>
      </w:r>
    </w:p>
    <w:p w14:paraId="7D2BB5C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骆芬芬：《从钱钟书小说</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cstheme="minorEastAsia"/>
          <w:sz w:val="21"/>
          <w:szCs w:val="21"/>
          <w:lang w:val="en-US" w:eastAsia="zh-CN"/>
        </w:rPr>
        <w:t>围城</w:t>
      </w:r>
      <w:r>
        <w:rPr>
          <w:rFonts w:hint="eastAsia" w:asciiTheme="minorEastAsia" w:hAnsiTheme="minorEastAsia" w:eastAsiaTheme="minorEastAsia" w:cstheme="minorEastAsia"/>
          <w:i w:val="0"/>
          <w:iCs w:val="0"/>
          <w:caps w:val="0"/>
          <w:color w:val="333333"/>
          <w:spacing w:val="0"/>
          <w:sz w:val="21"/>
          <w:szCs w:val="21"/>
          <w:shd w:val="clear" w:fill="FFFFFF"/>
        </w:rPr>
        <w:t>〉</w:t>
      </w:r>
      <w:r>
        <w:rPr>
          <w:rFonts w:hint="eastAsia" w:asciiTheme="minorEastAsia" w:hAnsiTheme="minorEastAsia" w:eastAsiaTheme="minorEastAsia" w:cstheme="minorEastAsia"/>
          <w:sz w:val="21"/>
          <w:szCs w:val="21"/>
          <w:lang w:val="en-US" w:eastAsia="zh-CN"/>
        </w:rPr>
        <w:t>看方鸿渐的“围城”人生》，《北方文学》2019年第20期</w:t>
      </w:r>
      <w:r>
        <w:rPr>
          <w:rFonts w:hint="eastAsia" w:asciiTheme="minorEastAsia" w:hAnsiTheme="minorEastAsia" w:cstheme="minorEastAsia"/>
          <w:sz w:val="21"/>
          <w:szCs w:val="21"/>
          <w:lang w:val="en-US" w:eastAsia="zh-CN"/>
        </w:rPr>
        <w:t>。</w:t>
      </w:r>
    </w:p>
    <w:p w14:paraId="7101CB71">
      <w:pPr>
        <w:pStyle w:val="5"/>
        <w:snapToGrid w:val="0"/>
        <w:jc w:val="both"/>
        <w:rPr>
          <w:rFonts w:hint="default" w:asciiTheme="minorEastAsia" w:hAnsiTheme="minorEastAsia" w:cstheme="minorEastAsia"/>
          <w:sz w:val="21"/>
          <w:szCs w:val="21"/>
          <w:lang w:val="en-US" w:eastAsia="zh-CN"/>
        </w:rPr>
      </w:pPr>
    </w:p>
    <w:p w14:paraId="5B136C9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default" w:asciiTheme="minorEastAsia" w:hAnsiTheme="minorEastAsia" w:cstheme="minorEastAsia"/>
          <w:sz w:val="21"/>
          <w:szCs w:val="21"/>
          <w:lang w:val="en-US" w:eastAsia="zh-CN"/>
        </w:rPr>
      </w:pPr>
    </w:p>
    <w:p w14:paraId="11DAFAC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default" w:asciiTheme="minorEastAsia" w:hAnsiTheme="minorEastAsia" w:eastAsiaTheme="minorEastAsia" w:cstheme="minorEastAsia"/>
          <w:sz w:val="21"/>
          <w:szCs w:val="21"/>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C647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BB32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EBB32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689EFA36">
      <w:pPr>
        <w:pStyle w:val="5"/>
        <w:snapToGrid w:val="0"/>
        <w:rPr>
          <w:sz w:val="18"/>
          <w:szCs w:val="18"/>
        </w:rPr>
      </w:pPr>
      <w:r>
        <w:rPr>
          <w:rStyle w:val="9"/>
        </w:rPr>
        <w:footnoteRef/>
      </w:r>
      <w:r>
        <w:t xml:space="preserve"> </w:t>
      </w:r>
      <w:r>
        <w:rPr>
          <w:rFonts w:hint="eastAsia" w:asciiTheme="minorEastAsia" w:hAnsiTheme="minorEastAsia" w:eastAsiaTheme="minorEastAsia" w:cstheme="minorEastAsia"/>
          <w:sz w:val="18"/>
          <w:szCs w:val="18"/>
          <w:lang w:val="en-US" w:eastAsia="zh-CN"/>
        </w:rPr>
        <w:t>钱锺书：《围城》，北京：人民文学出版社，2023年</w:t>
      </w:r>
      <w:r>
        <w:rPr>
          <w:rFonts w:hint="eastAsia" w:asciiTheme="minorEastAsia" w:hAnsiTheme="minorEastAsia" w:eastAsiaTheme="minorEastAsia" w:cstheme="minorEastAsia"/>
          <w:i w:val="0"/>
          <w:iCs w:val="0"/>
          <w:sz w:val="18"/>
          <w:szCs w:val="18"/>
          <w:lang w:val="en-US" w:eastAsia="zh-CN"/>
        </w:rPr>
        <w:t>，第90页</w:t>
      </w:r>
      <w:r>
        <w:rPr>
          <w:rFonts w:hint="eastAsia" w:asciiTheme="minorEastAsia" w:hAnsiTheme="minorEastAsia" w:cstheme="minorEastAsia"/>
          <w:i w:val="0"/>
          <w:iCs w:val="0"/>
          <w:sz w:val="18"/>
          <w:szCs w:val="18"/>
          <w:lang w:val="en-US" w:eastAsia="zh-CN"/>
        </w:rPr>
        <w:t>。</w:t>
      </w:r>
    </w:p>
  </w:footnote>
  <w:footnote w:id="1">
    <w:p w14:paraId="29ADE62C">
      <w:pPr>
        <w:pStyle w:val="5"/>
        <w:snapToGrid w:val="0"/>
      </w:pPr>
      <w:r>
        <w:rPr>
          <w:rStyle w:val="9"/>
        </w:rPr>
        <w:footnoteRef/>
      </w:r>
      <w:r>
        <w:t xml:space="preserve"> </w:t>
      </w:r>
      <w:r>
        <w:rPr>
          <w:rFonts w:hint="eastAsia" w:asciiTheme="minorEastAsia" w:hAnsiTheme="minorEastAsia" w:eastAsiaTheme="minorEastAsia" w:cstheme="minorEastAsia"/>
          <w:sz w:val="18"/>
          <w:szCs w:val="18"/>
          <w:lang w:val="en-US" w:eastAsia="zh-CN"/>
        </w:rPr>
        <w:t>钱锺书：《围城》，</w:t>
      </w:r>
      <w:r>
        <w:rPr>
          <w:rFonts w:hint="eastAsia" w:asciiTheme="minorEastAsia" w:hAnsiTheme="minorEastAsia" w:eastAsiaTheme="minorEastAsia" w:cstheme="minorEastAsia"/>
          <w:i w:val="0"/>
          <w:iCs w:val="0"/>
          <w:sz w:val="18"/>
          <w:szCs w:val="18"/>
          <w:lang w:val="en-US" w:eastAsia="zh-CN"/>
        </w:rPr>
        <w:t>第9</w:t>
      </w:r>
      <w:r>
        <w:rPr>
          <w:rFonts w:hint="eastAsia" w:asciiTheme="minorEastAsia" w:hAnsiTheme="minorEastAsia" w:cstheme="minorEastAsia"/>
          <w:i w:val="0"/>
          <w:iCs w:val="0"/>
          <w:sz w:val="18"/>
          <w:szCs w:val="18"/>
          <w:lang w:val="en-US" w:eastAsia="zh-CN"/>
        </w:rPr>
        <w:t>7</w:t>
      </w:r>
      <w:r>
        <w:rPr>
          <w:rFonts w:hint="eastAsia" w:asciiTheme="minorEastAsia" w:hAnsiTheme="minorEastAsia" w:eastAsiaTheme="minorEastAsia" w:cstheme="minorEastAsia"/>
          <w:i w:val="0"/>
          <w:iCs w:val="0"/>
          <w:sz w:val="18"/>
          <w:szCs w:val="18"/>
          <w:lang w:val="en-US" w:eastAsia="zh-CN"/>
        </w:rPr>
        <w:t>页</w:t>
      </w:r>
      <w:r>
        <w:rPr>
          <w:rFonts w:hint="eastAsia" w:asciiTheme="minorEastAsia" w:hAnsiTheme="minorEastAsia" w:cstheme="minorEastAsia"/>
          <w:i w:val="0"/>
          <w:iCs w:val="0"/>
          <w:sz w:val="18"/>
          <w:szCs w:val="18"/>
          <w:lang w:val="en-US" w:eastAsia="zh-CN"/>
        </w:rPr>
        <w:t>。</w:t>
      </w:r>
    </w:p>
  </w:footnote>
  <w:footnote w:id="2">
    <w:p w14:paraId="0CC33FE4">
      <w:pPr>
        <w:pStyle w:val="5"/>
        <w:snapToGrid w:val="0"/>
      </w:pPr>
      <w:r>
        <w:rPr>
          <w:rStyle w:val="9"/>
        </w:rPr>
        <w:footnoteRef/>
      </w:r>
      <w:r>
        <w:t xml:space="preserve"> </w:t>
      </w:r>
      <w:r>
        <w:rPr>
          <w:rFonts w:hint="eastAsia" w:asciiTheme="minorEastAsia" w:hAnsiTheme="minorEastAsia" w:cstheme="minorEastAsia"/>
          <w:sz w:val="18"/>
          <w:szCs w:val="18"/>
          <w:lang w:val="en-US" w:eastAsia="zh-CN"/>
        </w:rPr>
        <w:t>同前注</w:t>
      </w:r>
      <w:r>
        <w:rPr>
          <w:rFonts w:hint="eastAsia" w:asciiTheme="minorEastAsia" w:hAnsiTheme="minorEastAsia" w:eastAsiaTheme="minorEastAsia" w:cstheme="minorEastAsia"/>
          <w:i w:val="0"/>
          <w:iCs w:val="0"/>
          <w:sz w:val="18"/>
          <w:szCs w:val="18"/>
          <w:lang w:val="en-US" w:eastAsia="zh-CN"/>
        </w:rPr>
        <w:t>，第</w:t>
      </w:r>
      <w:r>
        <w:rPr>
          <w:rFonts w:hint="eastAsia" w:asciiTheme="minorEastAsia" w:hAnsiTheme="minorEastAsia" w:cstheme="minorEastAsia"/>
          <w:i w:val="0"/>
          <w:iCs w:val="0"/>
          <w:sz w:val="18"/>
          <w:szCs w:val="18"/>
          <w:lang w:val="en-US" w:eastAsia="zh-CN"/>
        </w:rPr>
        <w:t>52</w:t>
      </w:r>
      <w:r>
        <w:rPr>
          <w:rFonts w:hint="eastAsia" w:asciiTheme="minorEastAsia" w:hAnsiTheme="minorEastAsia" w:eastAsiaTheme="minorEastAsia" w:cstheme="minorEastAsia"/>
          <w:i w:val="0"/>
          <w:iCs w:val="0"/>
          <w:sz w:val="18"/>
          <w:szCs w:val="18"/>
          <w:lang w:val="en-US" w:eastAsia="zh-CN"/>
        </w:rPr>
        <w:t>页</w:t>
      </w:r>
      <w:r>
        <w:rPr>
          <w:rFonts w:hint="eastAsia" w:asciiTheme="minorEastAsia" w:hAnsiTheme="minorEastAsia" w:cstheme="minorEastAsia"/>
          <w:i w:val="0"/>
          <w:iCs w:val="0"/>
          <w:sz w:val="18"/>
          <w:szCs w:val="18"/>
          <w:lang w:val="en-US" w:eastAsia="zh-CN"/>
        </w:rPr>
        <w:t>。</w:t>
      </w:r>
    </w:p>
  </w:footnote>
  <w:footnote w:id="3">
    <w:p w14:paraId="2EEEED3D">
      <w:pPr>
        <w:pStyle w:val="5"/>
        <w:snapToGrid w:val="0"/>
      </w:pPr>
      <w:r>
        <w:rPr>
          <w:rStyle w:val="9"/>
        </w:rPr>
        <w:footnoteRef/>
      </w:r>
      <w:r>
        <w:t xml:space="preserve"> </w:t>
      </w:r>
      <w:r>
        <w:rPr>
          <w:rFonts w:hint="eastAsia" w:asciiTheme="minorEastAsia" w:hAnsiTheme="minorEastAsia" w:cstheme="minorEastAsia"/>
          <w:sz w:val="18"/>
          <w:szCs w:val="18"/>
          <w:lang w:val="en-US" w:eastAsia="zh-CN"/>
        </w:rPr>
        <w:t>同前注</w:t>
      </w:r>
      <w:r>
        <w:rPr>
          <w:rFonts w:hint="eastAsia" w:asciiTheme="minorEastAsia" w:hAnsiTheme="minorEastAsia" w:eastAsiaTheme="minorEastAsia" w:cstheme="minorEastAsia"/>
          <w:i w:val="0"/>
          <w:iCs w:val="0"/>
          <w:sz w:val="18"/>
          <w:szCs w:val="18"/>
          <w:lang w:val="en-US" w:eastAsia="zh-CN"/>
        </w:rPr>
        <w:t>，第</w:t>
      </w:r>
      <w:r>
        <w:rPr>
          <w:rFonts w:hint="eastAsia" w:asciiTheme="minorEastAsia" w:hAnsiTheme="minorEastAsia" w:cstheme="minorEastAsia"/>
          <w:i w:val="0"/>
          <w:iCs w:val="0"/>
          <w:sz w:val="18"/>
          <w:szCs w:val="18"/>
          <w:lang w:val="en-US" w:eastAsia="zh-CN"/>
        </w:rPr>
        <w:t>82</w:t>
      </w:r>
      <w:r>
        <w:rPr>
          <w:rFonts w:hint="eastAsia" w:asciiTheme="minorEastAsia" w:hAnsiTheme="minorEastAsia" w:eastAsiaTheme="minorEastAsia" w:cstheme="minorEastAsia"/>
          <w:i w:val="0"/>
          <w:iCs w:val="0"/>
          <w:sz w:val="18"/>
          <w:szCs w:val="18"/>
          <w:lang w:val="en-US" w:eastAsia="zh-CN"/>
        </w:rPr>
        <w:t>页</w:t>
      </w:r>
      <w:r>
        <w:rPr>
          <w:rFonts w:hint="eastAsia" w:asciiTheme="minorEastAsia" w:hAnsiTheme="minorEastAsia" w:cstheme="minorEastAsia"/>
          <w:i w:val="0"/>
          <w:iCs w:val="0"/>
          <w:sz w:val="18"/>
          <w:szCs w:val="18"/>
          <w:lang w:val="en-US" w:eastAsia="zh-CN"/>
        </w:rPr>
        <w:t>。</w:t>
      </w:r>
    </w:p>
  </w:footnote>
  <w:footnote w:id="4">
    <w:p w14:paraId="2294B4DD">
      <w:pPr>
        <w:pStyle w:val="5"/>
        <w:snapToGrid w:val="0"/>
      </w:pPr>
      <w:r>
        <w:rPr>
          <w:rStyle w:val="9"/>
        </w:rPr>
        <w:footnoteRef/>
      </w:r>
      <w:r>
        <w:t xml:space="preserve"> </w:t>
      </w:r>
      <w:r>
        <w:rPr>
          <w:rFonts w:hint="eastAsia" w:asciiTheme="minorEastAsia" w:hAnsiTheme="minorEastAsia" w:eastAsiaTheme="minorEastAsia" w:cstheme="minorEastAsia"/>
          <w:sz w:val="18"/>
          <w:szCs w:val="18"/>
          <w:lang w:val="en-US" w:eastAsia="zh-CN"/>
        </w:rPr>
        <w:t>钱锺书：《围城》，</w:t>
      </w:r>
      <w:r>
        <w:rPr>
          <w:rFonts w:hint="eastAsia" w:asciiTheme="minorEastAsia" w:hAnsiTheme="minorEastAsia" w:eastAsiaTheme="minorEastAsia" w:cstheme="minorEastAsia"/>
          <w:i w:val="0"/>
          <w:iCs w:val="0"/>
          <w:sz w:val="18"/>
          <w:szCs w:val="18"/>
          <w:lang w:val="en-US" w:eastAsia="zh-CN"/>
        </w:rPr>
        <w:t>第</w:t>
      </w:r>
      <w:r>
        <w:rPr>
          <w:rFonts w:hint="eastAsia" w:asciiTheme="minorEastAsia" w:hAnsiTheme="minorEastAsia" w:cstheme="minorEastAsia"/>
          <w:i w:val="0"/>
          <w:iCs w:val="0"/>
          <w:sz w:val="18"/>
          <w:szCs w:val="18"/>
          <w:lang w:val="en-US" w:eastAsia="zh-CN"/>
        </w:rPr>
        <w:t>55</w:t>
      </w:r>
      <w:r>
        <w:rPr>
          <w:rFonts w:hint="eastAsia" w:asciiTheme="minorEastAsia" w:hAnsiTheme="minorEastAsia" w:eastAsiaTheme="minorEastAsia" w:cstheme="minorEastAsia"/>
          <w:i w:val="0"/>
          <w:iCs w:val="0"/>
          <w:sz w:val="18"/>
          <w:szCs w:val="18"/>
          <w:lang w:val="en-US" w:eastAsia="zh-CN"/>
        </w:rPr>
        <w:t>页</w:t>
      </w:r>
      <w:r>
        <w:rPr>
          <w:rFonts w:hint="eastAsia" w:asciiTheme="minorEastAsia" w:hAnsiTheme="minorEastAsia" w:cstheme="minorEastAsia"/>
          <w:i w:val="0"/>
          <w:iCs w:val="0"/>
          <w:sz w:val="18"/>
          <w:szCs w:val="18"/>
          <w:lang w:val="en-US" w:eastAsia="zh-CN"/>
        </w:rPr>
        <w:t>。</w:t>
      </w:r>
    </w:p>
  </w:footnote>
  <w:footnote w:id="5">
    <w:p w14:paraId="14EBB3B3">
      <w:pPr>
        <w:pStyle w:val="5"/>
        <w:snapToGrid w:val="0"/>
        <w:rPr>
          <w:rFonts w:hint="default" w:eastAsiaTheme="minorEastAsia"/>
          <w:sz w:val="18"/>
          <w:szCs w:val="18"/>
          <w:lang w:val="en-US" w:eastAsia="zh-CN"/>
        </w:rPr>
      </w:pPr>
      <w:r>
        <w:rPr>
          <w:rStyle w:val="9"/>
          <w:sz w:val="18"/>
          <w:szCs w:val="18"/>
        </w:rPr>
        <w:footnoteRef/>
      </w:r>
      <w:r>
        <w:rPr>
          <w:sz w:val="18"/>
          <w:szCs w:val="18"/>
        </w:rPr>
        <w:t xml:space="preserve"> </w:t>
      </w:r>
      <w:r>
        <w:rPr>
          <w:rFonts w:hint="eastAsia" w:ascii="宋体" w:hAnsi="宋体" w:eastAsia="宋体" w:cs="宋体"/>
          <w:sz w:val="18"/>
          <w:szCs w:val="18"/>
          <w:lang w:val="en-US" w:eastAsia="zh-CN"/>
        </w:rPr>
        <w:t>耿立：《论</w:t>
      </w:r>
      <w:r>
        <w:rPr>
          <w:rFonts w:hint="eastAsia" w:ascii="宋体" w:hAnsi="宋体" w:eastAsia="宋体" w:cs="宋体"/>
          <w:i w:val="0"/>
          <w:iCs w:val="0"/>
          <w:caps w:val="0"/>
          <w:color w:val="333333"/>
          <w:spacing w:val="0"/>
          <w:sz w:val="18"/>
          <w:szCs w:val="18"/>
          <w:shd w:val="clear" w:fill="FFFFFF"/>
        </w:rPr>
        <w:t>〈</w:t>
      </w:r>
      <w:r>
        <w:rPr>
          <w:rFonts w:hint="eastAsia" w:ascii="宋体" w:hAnsi="宋体" w:eastAsia="宋体" w:cs="宋体"/>
          <w:sz w:val="18"/>
          <w:szCs w:val="18"/>
          <w:lang w:val="en-US" w:eastAsia="zh-CN"/>
        </w:rPr>
        <w:t>围城</w:t>
      </w:r>
      <w:r>
        <w:rPr>
          <w:rFonts w:hint="eastAsia" w:ascii="宋体" w:hAnsi="宋体" w:eastAsia="宋体" w:cs="宋体"/>
          <w:i w:val="0"/>
          <w:iCs w:val="0"/>
          <w:caps w:val="0"/>
          <w:color w:val="333333"/>
          <w:spacing w:val="0"/>
          <w:sz w:val="18"/>
          <w:szCs w:val="18"/>
          <w:shd w:val="clear" w:fill="FFFFFF"/>
        </w:rPr>
        <w:t>〉</w:t>
      </w:r>
      <w:r>
        <w:rPr>
          <w:rFonts w:hint="eastAsia" w:ascii="宋体" w:hAnsi="宋体" w:eastAsia="宋体" w:cs="宋体"/>
          <w:sz w:val="18"/>
          <w:szCs w:val="18"/>
          <w:lang w:val="en-US" w:eastAsia="zh-CN"/>
        </w:rPr>
        <w:t>中女性形象》，《北方文学》2020年第20期</w:t>
      </w:r>
    </w:p>
  </w:footnote>
  <w:footnote w:id="6">
    <w:p w14:paraId="6D2AC83C">
      <w:pPr>
        <w:pStyle w:val="5"/>
        <w:snapToGrid w:val="0"/>
        <w:rPr>
          <w:rFonts w:hint="default"/>
          <w:sz w:val="18"/>
          <w:szCs w:val="18"/>
          <w:lang w:val="en-US"/>
        </w:rPr>
      </w:pPr>
      <w:r>
        <w:rPr>
          <w:rStyle w:val="9"/>
          <w:sz w:val="18"/>
          <w:szCs w:val="18"/>
        </w:rPr>
        <w:footnoteRef/>
      </w:r>
      <w:r>
        <w:rPr>
          <w:sz w:val="18"/>
          <w:szCs w:val="18"/>
        </w:rPr>
        <w:t xml:space="preserve"> </w:t>
      </w:r>
      <w:r>
        <w:rPr>
          <w:rFonts w:hint="eastAsia" w:asciiTheme="minorEastAsia" w:hAnsiTheme="minorEastAsia" w:eastAsiaTheme="minorEastAsia" w:cstheme="minorEastAsia"/>
          <w:sz w:val="18"/>
          <w:szCs w:val="18"/>
          <w:lang w:val="en-US" w:eastAsia="zh-CN"/>
        </w:rPr>
        <w:t>刘国珍：《突围与自困：</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eastAsiaTheme="minorEastAsia" w:cstheme="minorEastAsia"/>
          <w:sz w:val="18"/>
          <w:szCs w:val="18"/>
          <w:lang w:val="en-US" w:eastAsia="zh-CN"/>
        </w:rPr>
        <w:t>围城</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eastAsiaTheme="minorEastAsia" w:cstheme="minorEastAsia"/>
          <w:sz w:val="18"/>
          <w:szCs w:val="18"/>
          <w:lang w:val="en-US" w:eastAsia="zh-CN"/>
        </w:rPr>
        <w:t>中的两位女性知识分子》，</w:t>
      </w:r>
      <w:r>
        <w:rPr>
          <w:rFonts w:hint="eastAsia" w:asciiTheme="minorEastAsia" w:hAnsiTheme="minorEastAsia" w:cstheme="minorEastAsia"/>
          <w:sz w:val="18"/>
          <w:szCs w:val="18"/>
          <w:lang w:val="en-US" w:eastAsia="zh-CN"/>
        </w:rPr>
        <w:t>2012年，摘要。</w:t>
      </w:r>
    </w:p>
  </w:footnote>
  <w:footnote w:id="7">
    <w:p w14:paraId="66CB4055">
      <w:pPr>
        <w:pStyle w:val="5"/>
        <w:snapToGrid w:val="0"/>
        <w:jc w:val="both"/>
        <w:rPr>
          <w:sz w:val="18"/>
          <w:szCs w:val="18"/>
        </w:rPr>
      </w:pPr>
      <w:r>
        <w:rPr>
          <w:rStyle w:val="9"/>
          <w:sz w:val="18"/>
          <w:szCs w:val="18"/>
        </w:rPr>
        <w:footnoteRef/>
      </w:r>
      <w:r>
        <w:rPr>
          <w:sz w:val="18"/>
          <w:szCs w:val="18"/>
        </w:rPr>
        <w:t xml:space="preserve"> </w:t>
      </w:r>
      <w:r>
        <w:rPr>
          <w:rFonts w:hint="eastAsia" w:asciiTheme="minorEastAsia" w:hAnsiTheme="minorEastAsia" w:cstheme="minorEastAsia"/>
          <w:sz w:val="18"/>
          <w:szCs w:val="18"/>
          <w:lang w:val="en-US" w:eastAsia="zh-CN"/>
        </w:rPr>
        <w:t>贾旭东，穆阳：《</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cstheme="minorEastAsia"/>
          <w:sz w:val="18"/>
          <w:szCs w:val="18"/>
          <w:lang w:val="en-US" w:eastAsia="zh-CN"/>
        </w:rPr>
        <w:t>围城</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cstheme="minorEastAsia"/>
          <w:sz w:val="18"/>
          <w:szCs w:val="18"/>
          <w:lang w:val="en-US" w:eastAsia="zh-CN"/>
        </w:rPr>
        <w:t>中两位女性知识分子的突围与自困探究》，《产业与科技论坛》2017年第14期，第188-189页。</w:t>
      </w:r>
    </w:p>
  </w:footnote>
  <w:footnote w:id="8">
    <w:p w14:paraId="147C3D14">
      <w:pPr>
        <w:pStyle w:val="5"/>
        <w:snapToGrid w:val="0"/>
        <w:rPr>
          <w:rFonts w:hint="default" w:eastAsiaTheme="minorEastAsia"/>
          <w:lang w:val="en-US" w:eastAsia="zh-CN"/>
        </w:rPr>
      </w:pPr>
      <w:r>
        <w:rPr>
          <w:rStyle w:val="9"/>
        </w:rPr>
        <w:footnoteRef/>
      </w:r>
      <w:r>
        <w:t xml:space="preserve"> </w:t>
      </w:r>
      <w:r>
        <w:rPr>
          <w:rFonts w:hint="eastAsia" w:asciiTheme="minorEastAsia" w:hAnsiTheme="minorEastAsia" w:eastAsiaTheme="minorEastAsia" w:cstheme="minorEastAsia"/>
          <w:sz w:val="18"/>
          <w:szCs w:val="18"/>
          <w:lang w:val="en-US" w:eastAsia="zh-CN"/>
        </w:rPr>
        <w:t>任晓娟：《</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eastAsiaTheme="minorEastAsia" w:cstheme="minorEastAsia"/>
          <w:sz w:val="18"/>
          <w:szCs w:val="18"/>
          <w:lang w:val="en-US" w:eastAsia="zh-CN"/>
        </w:rPr>
        <w:t>围城</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eastAsiaTheme="minorEastAsia" w:cstheme="minorEastAsia"/>
          <w:sz w:val="18"/>
          <w:szCs w:val="18"/>
          <w:lang w:val="en-US" w:eastAsia="zh-CN"/>
        </w:rPr>
        <w:t>的女性叙述话语浅析》，《陇东学院学报》2021年第4期，第29-32页</w:t>
      </w:r>
    </w:p>
  </w:footnote>
  <w:footnote w:id="9">
    <w:p w14:paraId="4EAA2F2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60" w:lineRule="auto"/>
        <w:ind w:right="0" w:rightChars="0"/>
        <w:jc w:val="both"/>
        <w:textAlignment w:val="auto"/>
        <w:rPr>
          <w:rFonts w:hint="default" w:asciiTheme="minorEastAsia" w:hAnsiTheme="minorEastAsia" w:eastAsiaTheme="minorEastAsia" w:cstheme="minorEastAsia"/>
          <w:sz w:val="18"/>
          <w:szCs w:val="18"/>
          <w:lang w:val="en-US" w:eastAsia="zh-CN"/>
        </w:rPr>
      </w:pPr>
      <w:r>
        <w:rPr>
          <w:rStyle w:val="9"/>
          <w:sz w:val="18"/>
          <w:szCs w:val="18"/>
        </w:rPr>
        <w:footnoteRef/>
      </w:r>
      <w:r>
        <w:rPr>
          <w:sz w:val="18"/>
          <w:szCs w:val="18"/>
        </w:rPr>
        <w:t xml:space="preserve"> </w:t>
      </w:r>
      <w:r>
        <w:rPr>
          <w:rFonts w:hint="eastAsia" w:asciiTheme="minorEastAsia" w:hAnsiTheme="minorEastAsia" w:eastAsiaTheme="minorEastAsia" w:cstheme="minorEastAsia"/>
          <w:sz w:val="18"/>
          <w:szCs w:val="18"/>
          <w:lang w:val="en-US" w:eastAsia="zh-CN"/>
        </w:rPr>
        <w:t>骆芬芬：《从钱钟书小说</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cstheme="minorEastAsia"/>
          <w:sz w:val="18"/>
          <w:szCs w:val="18"/>
          <w:lang w:val="en-US" w:eastAsia="zh-CN"/>
        </w:rPr>
        <w:t>围城</w:t>
      </w: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eastAsiaTheme="minorEastAsia" w:cstheme="minorEastAsia"/>
          <w:sz w:val="18"/>
          <w:szCs w:val="18"/>
          <w:lang w:val="en-US" w:eastAsia="zh-CN"/>
        </w:rPr>
        <w:t>看方鸿渐的“围城”人生》，《北方文学》2019年第20期</w:t>
      </w:r>
      <w:r>
        <w:rPr>
          <w:rFonts w:hint="eastAsia" w:asciiTheme="minorEastAsia" w:hAnsiTheme="minorEastAsia" w:cstheme="minorEastAsia"/>
          <w:sz w:val="18"/>
          <w:szCs w:val="18"/>
          <w:lang w:val="en-US" w:eastAsia="zh-CN"/>
        </w:rPr>
        <w:t>，第34-35页</w:t>
      </w:r>
    </w:p>
    <w:p w14:paraId="44E37985">
      <w:pPr>
        <w:pStyle w:val="5"/>
        <w:snapToGrid w:val="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1DFE7"/>
    <w:multiLevelType w:val="singleLevel"/>
    <w:tmpl w:val="B361DFE7"/>
    <w:lvl w:ilvl="0" w:tentative="0">
      <w:start w:val="1"/>
      <w:numFmt w:val="chineseCounting"/>
      <w:suff w:val="nothing"/>
      <w:lvlText w:val="%1、"/>
      <w:lvlJc w:val="left"/>
      <w:rPr>
        <w:rFonts w:hint="eastAsia"/>
      </w:rPr>
    </w:lvl>
  </w:abstractNum>
  <w:abstractNum w:abstractNumId="1">
    <w:nsid w:val="FC477F84"/>
    <w:multiLevelType w:val="singleLevel"/>
    <w:tmpl w:val="FC477F84"/>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3MDFmODc3OWZiMzI1ZjIyYWMyYmJiMzRjNjk5MGUifQ=="/>
  </w:docVars>
  <w:rsids>
    <w:rsidRoot w:val="00000000"/>
    <w:rsid w:val="009A36B3"/>
    <w:rsid w:val="01093078"/>
    <w:rsid w:val="022A5367"/>
    <w:rsid w:val="027C16B8"/>
    <w:rsid w:val="02E5725D"/>
    <w:rsid w:val="03556B84"/>
    <w:rsid w:val="045D6A08"/>
    <w:rsid w:val="04993118"/>
    <w:rsid w:val="05116E25"/>
    <w:rsid w:val="05672598"/>
    <w:rsid w:val="05D43BAD"/>
    <w:rsid w:val="06543A2D"/>
    <w:rsid w:val="065D3F31"/>
    <w:rsid w:val="06B70721"/>
    <w:rsid w:val="07691CCC"/>
    <w:rsid w:val="07D47A4F"/>
    <w:rsid w:val="081857A6"/>
    <w:rsid w:val="084C50C5"/>
    <w:rsid w:val="08C13977"/>
    <w:rsid w:val="08D54A57"/>
    <w:rsid w:val="09834B42"/>
    <w:rsid w:val="09E259C6"/>
    <w:rsid w:val="0A0A3F6A"/>
    <w:rsid w:val="0B507662"/>
    <w:rsid w:val="0CA65850"/>
    <w:rsid w:val="0D903663"/>
    <w:rsid w:val="0E4D215A"/>
    <w:rsid w:val="0F2B453A"/>
    <w:rsid w:val="0F6A6CCA"/>
    <w:rsid w:val="10EB77AD"/>
    <w:rsid w:val="11103D99"/>
    <w:rsid w:val="11F71F3A"/>
    <w:rsid w:val="121441A5"/>
    <w:rsid w:val="126F6B43"/>
    <w:rsid w:val="128C6761"/>
    <w:rsid w:val="13F152DD"/>
    <w:rsid w:val="14423DE3"/>
    <w:rsid w:val="151A266A"/>
    <w:rsid w:val="15741F45"/>
    <w:rsid w:val="15E96C25"/>
    <w:rsid w:val="161878F8"/>
    <w:rsid w:val="185C36C6"/>
    <w:rsid w:val="186158C2"/>
    <w:rsid w:val="19095E6F"/>
    <w:rsid w:val="19577600"/>
    <w:rsid w:val="195B507D"/>
    <w:rsid w:val="1A416522"/>
    <w:rsid w:val="1AA63380"/>
    <w:rsid w:val="1AD775ED"/>
    <w:rsid w:val="1BE7370A"/>
    <w:rsid w:val="1C4526C3"/>
    <w:rsid w:val="1C7D2DC9"/>
    <w:rsid w:val="1CCC5ACF"/>
    <w:rsid w:val="1D657B48"/>
    <w:rsid w:val="1DCE2E10"/>
    <w:rsid w:val="1E295C74"/>
    <w:rsid w:val="1E7A2AF8"/>
    <w:rsid w:val="1E931ABA"/>
    <w:rsid w:val="1F60531F"/>
    <w:rsid w:val="20155089"/>
    <w:rsid w:val="207C1691"/>
    <w:rsid w:val="20F1249A"/>
    <w:rsid w:val="21131D3E"/>
    <w:rsid w:val="215B7DFE"/>
    <w:rsid w:val="217A05FD"/>
    <w:rsid w:val="22954C15"/>
    <w:rsid w:val="23755249"/>
    <w:rsid w:val="23775858"/>
    <w:rsid w:val="24C1766E"/>
    <w:rsid w:val="25792664"/>
    <w:rsid w:val="2587082F"/>
    <w:rsid w:val="26243349"/>
    <w:rsid w:val="272C34BD"/>
    <w:rsid w:val="28047452"/>
    <w:rsid w:val="290128E9"/>
    <w:rsid w:val="295A51BA"/>
    <w:rsid w:val="2AC34AF1"/>
    <w:rsid w:val="2B070442"/>
    <w:rsid w:val="2B620B9B"/>
    <w:rsid w:val="2D734661"/>
    <w:rsid w:val="2D7800FE"/>
    <w:rsid w:val="2DAE631A"/>
    <w:rsid w:val="2DB12354"/>
    <w:rsid w:val="2F401CF7"/>
    <w:rsid w:val="30A2570F"/>
    <w:rsid w:val="319E4DE0"/>
    <w:rsid w:val="32064605"/>
    <w:rsid w:val="32977C2D"/>
    <w:rsid w:val="33170206"/>
    <w:rsid w:val="332C51FA"/>
    <w:rsid w:val="3393540A"/>
    <w:rsid w:val="33EB6D57"/>
    <w:rsid w:val="340A3262"/>
    <w:rsid w:val="34112154"/>
    <w:rsid w:val="34A32850"/>
    <w:rsid w:val="353407B4"/>
    <w:rsid w:val="35A26912"/>
    <w:rsid w:val="36D63A87"/>
    <w:rsid w:val="37537F32"/>
    <w:rsid w:val="38EC5F48"/>
    <w:rsid w:val="395033DB"/>
    <w:rsid w:val="397F6DBC"/>
    <w:rsid w:val="3A3614D2"/>
    <w:rsid w:val="3AA34B6B"/>
    <w:rsid w:val="3B0024B8"/>
    <w:rsid w:val="3BC35686"/>
    <w:rsid w:val="3C3722E4"/>
    <w:rsid w:val="3D333293"/>
    <w:rsid w:val="3D6469F5"/>
    <w:rsid w:val="3DAD33F3"/>
    <w:rsid w:val="3E594444"/>
    <w:rsid w:val="3EEA394E"/>
    <w:rsid w:val="40DD5820"/>
    <w:rsid w:val="4133027F"/>
    <w:rsid w:val="419B0E7E"/>
    <w:rsid w:val="41A4580B"/>
    <w:rsid w:val="41DC13F2"/>
    <w:rsid w:val="425A6971"/>
    <w:rsid w:val="427023B5"/>
    <w:rsid w:val="433378D3"/>
    <w:rsid w:val="43637DB9"/>
    <w:rsid w:val="44725D47"/>
    <w:rsid w:val="45765652"/>
    <w:rsid w:val="45C92A68"/>
    <w:rsid w:val="45EA607A"/>
    <w:rsid w:val="460F7ED1"/>
    <w:rsid w:val="46A936CA"/>
    <w:rsid w:val="487E45CF"/>
    <w:rsid w:val="48E06DA6"/>
    <w:rsid w:val="48F43B85"/>
    <w:rsid w:val="49AF0023"/>
    <w:rsid w:val="4A4D2F26"/>
    <w:rsid w:val="4AD16FFA"/>
    <w:rsid w:val="4B230CEF"/>
    <w:rsid w:val="4C8C3872"/>
    <w:rsid w:val="4CA759EA"/>
    <w:rsid w:val="4D7F4DF0"/>
    <w:rsid w:val="4DAE75EB"/>
    <w:rsid w:val="4E001470"/>
    <w:rsid w:val="4FBD423C"/>
    <w:rsid w:val="4FD867A7"/>
    <w:rsid w:val="4FFA21CE"/>
    <w:rsid w:val="51E7154B"/>
    <w:rsid w:val="525C276C"/>
    <w:rsid w:val="53E53868"/>
    <w:rsid w:val="542C0B14"/>
    <w:rsid w:val="54D1276A"/>
    <w:rsid w:val="54D7609B"/>
    <w:rsid w:val="54E12281"/>
    <w:rsid w:val="550120CD"/>
    <w:rsid w:val="55284118"/>
    <w:rsid w:val="55A05A71"/>
    <w:rsid w:val="55C24010"/>
    <w:rsid w:val="57FD01CB"/>
    <w:rsid w:val="5872243D"/>
    <w:rsid w:val="59E11591"/>
    <w:rsid w:val="5A2B6183"/>
    <w:rsid w:val="5AB77D22"/>
    <w:rsid w:val="5B684A4F"/>
    <w:rsid w:val="5BE70AC5"/>
    <w:rsid w:val="5C5C15DA"/>
    <w:rsid w:val="5D521F6E"/>
    <w:rsid w:val="5D835246"/>
    <w:rsid w:val="5E852710"/>
    <w:rsid w:val="5F733BE0"/>
    <w:rsid w:val="5FFB4339"/>
    <w:rsid w:val="6009210B"/>
    <w:rsid w:val="6186668A"/>
    <w:rsid w:val="62AC213B"/>
    <w:rsid w:val="63A70B3A"/>
    <w:rsid w:val="63B1502B"/>
    <w:rsid w:val="63CA4D92"/>
    <w:rsid w:val="6421269A"/>
    <w:rsid w:val="6559404B"/>
    <w:rsid w:val="65A34EC9"/>
    <w:rsid w:val="663761A5"/>
    <w:rsid w:val="663A325C"/>
    <w:rsid w:val="666A509C"/>
    <w:rsid w:val="66900E65"/>
    <w:rsid w:val="67784771"/>
    <w:rsid w:val="67874F0A"/>
    <w:rsid w:val="67EC5B5E"/>
    <w:rsid w:val="68180417"/>
    <w:rsid w:val="68255C8B"/>
    <w:rsid w:val="689135D1"/>
    <w:rsid w:val="6998349F"/>
    <w:rsid w:val="69A2191C"/>
    <w:rsid w:val="6A68690E"/>
    <w:rsid w:val="6A9B6729"/>
    <w:rsid w:val="6B721A2E"/>
    <w:rsid w:val="6D3728E0"/>
    <w:rsid w:val="6ECE1671"/>
    <w:rsid w:val="6ED94259"/>
    <w:rsid w:val="6F2E7013"/>
    <w:rsid w:val="6FB62831"/>
    <w:rsid w:val="70A84617"/>
    <w:rsid w:val="72025163"/>
    <w:rsid w:val="72304FD3"/>
    <w:rsid w:val="72907369"/>
    <w:rsid w:val="72DA41C8"/>
    <w:rsid w:val="74C925DE"/>
    <w:rsid w:val="763728CD"/>
    <w:rsid w:val="77283DE4"/>
    <w:rsid w:val="78FB7622"/>
    <w:rsid w:val="790A14F7"/>
    <w:rsid w:val="7A097450"/>
    <w:rsid w:val="7B78183A"/>
    <w:rsid w:val="7B8C25DF"/>
    <w:rsid w:val="7C164ACD"/>
    <w:rsid w:val="7C2D06C2"/>
    <w:rsid w:val="7CAC1243"/>
    <w:rsid w:val="7D1524C5"/>
    <w:rsid w:val="7D16490F"/>
    <w:rsid w:val="7DC91981"/>
    <w:rsid w:val="7E0518B8"/>
    <w:rsid w:val="7E082249"/>
    <w:rsid w:val="7ECD3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uiPriority w:val="0"/>
    <w:pPr>
      <w:snapToGrid w:val="0"/>
      <w:jc w:val="left"/>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footnote reference"/>
    <w:basedOn w:val="8"/>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3477</Words>
  <Characters>3539</Characters>
  <Lines>0</Lines>
  <Paragraphs>0</Paragraphs>
  <TotalTime>1</TotalTime>
  <ScaleCrop>false</ScaleCrop>
  <LinksUpToDate>false</LinksUpToDate>
  <CharactersWithSpaces>3541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2023-12-10T12:49:00Z</dcterms:created>
  <dc:creator>hy</dc:creator>
  <cp:lastModifiedBy>惨绿少年</cp:lastModifiedBy>
  <dcterms:modified xsi:type="dcterms:W3CDTF">2026-07-31T02:24:28Z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569C359AFB994BA6B408A2E7D0855CA4_12</vt:lpwstr>
  </property>
  <property fmtid="{D5CDD505-2E9C-101B-9397-08002B2CF9AE}" pid="4" name="KSOTemplateDocerSaveRecord">
    <vt:lpwstr>eyJoZGlkIjoiN2MwOTRlNDFjODEzNjFjZThkZWJiMWM3YmNjOWFmMDgiLCJ1c2VySWQiOiIxMjI5NTQxNzI0In0=</vt:lpwstr>
  </property>
</Properties>
</file>