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0E157">
      <w:pPr>
        <w:pStyle w:val="5"/>
        <w:spacing w:line="260" w:lineRule="auto"/>
      </w:pPr>
    </w:p>
    <w:p w14:paraId="5CB27F01">
      <w:pPr>
        <w:pStyle w:val="5"/>
        <w:spacing w:line="260" w:lineRule="auto"/>
      </w:pPr>
    </w:p>
    <w:p w14:paraId="2B722DE6">
      <w:pPr>
        <w:pStyle w:val="5"/>
        <w:spacing w:line="260" w:lineRule="auto"/>
      </w:pPr>
    </w:p>
    <w:p w14:paraId="3FF6AECD">
      <w:pPr>
        <w:pStyle w:val="5"/>
        <w:spacing w:line="260" w:lineRule="auto"/>
      </w:pPr>
    </w:p>
    <w:p w14:paraId="1E0FEF73">
      <w:pPr>
        <w:pStyle w:val="5"/>
        <w:spacing w:line="260" w:lineRule="auto"/>
      </w:pPr>
    </w:p>
    <w:p w14:paraId="72113F27">
      <w:pPr>
        <w:pStyle w:val="5"/>
        <w:spacing w:line="260" w:lineRule="auto"/>
      </w:pPr>
    </w:p>
    <w:p w14:paraId="2A2B45A3">
      <w:pPr>
        <w:pStyle w:val="5"/>
        <w:spacing w:line="261" w:lineRule="auto"/>
      </w:pPr>
    </w:p>
    <w:p w14:paraId="4BD9E7EA">
      <w:pPr>
        <w:pStyle w:val="5"/>
        <w:spacing w:line="261" w:lineRule="auto"/>
      </w:pPr>
    </w:p>
    <w:p w14:paraId="6AC79F3A">
      <w:pPr>
        <w:pStyle w:val="5"/>
        <w:spacing w:line="261" w:lineRule="auto"/>
      </w:pPr>
    </w:p>
    <w:p w14:paraId="0F946E29">
      <w:pPr>
        <w:spacing w:before="69" w:line="231" w:lineRule="auto"/>
        <w:rPr>
          <w:rFonts w:hint="default" w:ascii="Times New Roman" w:hAnsi="Times New Roman" w:eastAsia="Times New Roman" w:cs="Times New Roman"/>
          <w:b/>
          <w:bCs/>
          <w:spacing w:val="-1"/>
          <w:sz w:val="24"/>
          <w:szCs w:val="24"/>
        </w:rPr>
      </w:pPr>
    </w:p>
    <w:p w14:paraId="2B73A0B2">
      <w:pPr>
        <w:keepNext w:val="0"/>
        <w:keepLines w:val="0"/>
        <w:pageBreakBefore w:val="0"/>
        <w:widowControl/>
        <w:kinsoku w:val="0"/>
        <w:wordWrap/>
        <w:overflowPunct/>
        <w:topLinePunct w:val="0"/>
        <w:autoSpaceDE w:val="0"/>
        <w:autoSpaceDN w:val="0"/>
        <w:bidi w:val="0"/>
        <w:adjustRightInd w:val="0"/>
        <w:snapToGrid w:val="0"/>
        <w:spacing w:before="69" w:line="480" w:lineRule="auto"/>
        <w:jc w:val="center"/>
        <w:textAlignment w:val="baseline"/>
        <w:rPr>
          <w:rFonts w:hint="default" w:ascii="Times New Roman" w:hAnsi="Times New Roman" w:eastAsia="Times New Roman" w:cs="Times New Roman"/>
          <w:b/>
          <w:bCs/>
          <w:spacing w:val="-1"/>
          <w:sz w:val="24"/>
          <w:szCs w:val="24"/>
        </w:rPr>
      </w:pPr>
      <w:r>
        <w:rPr>
          <w:rFonts w:hint="default" w:ascii="Times New Roman" w:hAnsi="Times New Roman" w:eastAsia="Times New Roman" w:cs="Times New Roman"/>
          <w:b/>
          <w:bCs/>
          <w:spacing w:val="-1"/>
          <w:sz w:val="24"/>
          <w:szCs w:val="24"/>
        </w:rPr>
        <w:t>Performing Presence: Cultural Capital and the Spatial Consumption Trajectory in Aesthetic Markets</w:t>
      </w:r>
    </w:p>
    <w:p w14:paraId="5C1DF3B9">
      <w:pPr>
        <w:keepNext w:val="0"/>
        <w:keepLines w:val="0"/>
        <w:pageBreakBefore w:val="0"/>
        <w:widowControl/>
        <w:kinsoku w:val="0"/>
        <w:wordWrap/>
        <w:overflowPunct/>
        <w:topLinePunct w:val="0"/>
        <w:autoSpaceDE w:val="0"/>
        <w:autoSpaceDN w:val="0"/>
        <w:bidi w:val="0"/>
        <w:adjustRightInd w:val="0"/>
        <w:snapToGrid w:val="0"/>
        <w:spacing w:before="69" w:line="480" w:lineRule="auto"/>
        <w:ind w:left="3305"/>
        <w:textAlignment w:val="baseline"/>
        <w:rPr>
          <w:rFonts w:hint="default" w:ascii="Times New Roman" w:hAnsi="Times New Roman" w:cs="Times New Roman"/>
          <w:sz w:val="24"/>
          <w:szCs w:val="24"/>
        </w:rPr>
      </w:pPr>
    </w:p>
    <w:p w14:paraId="4DDF49EF">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0FE72E30">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64306BDC">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04D0F8C4">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1363A8A0">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1A2B5FBA">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2FA0E070">
      <w:pPr>
        <w:pStyle w:val="5"/>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default" w:ascii="Times New Roman" w:hAnsi="Times New Roman" w:cs="Times New Roman"/>
          <w:sz w:val="24"/>
          <w:szCs w:val="24"/>
        </w:rPr>
      </w:pPr>
    </w:p>
    <w:p w14:paraId="01658A4C">
      <w:pPr>
        <w:keepNext w:val="0"/>
        <w:keepLines w:val="0"/>
        <w:pageBreakBefore w:val="0"/>
        <w:widowControl/>
        <w:kinsoku w:val="0"/>
        <w:wordWrap/>
        <w:overflowPunct/>
        <w:topLinePunct w:val="0"/>
        <w:autoSpaceDE w:val="0"/>
        <w:autoSpaceDN w:val="0"/>
        <w:bidi w:val="0"/>
        <w:adjustRightInd w:val="0"/>
        <w:snapToGrid w:val="0"/>
        <w:spacing w:before="69" w:line="480" w:lineRule="auto"/>
        <w:jc w:val="center"/>
        <w:textAlignment w:val="baseline"/>
        <w:rPr>
          <w:rFonts w:hint="default" w:ascii="Times New Roman" w:hAnsi="Times New Roman" w:eastAsia="Times New Roman" w:cs="Times New Roman"/>
          <w:b/>
          <w:bCs/>
          <w:spacing w:val="-1"/>
          <w:sz w:val="24"/>
          <w:szCs w:val="24"/>
        </w:rPr>
      </w:pPr>
    </w:p>
    <w:p w14:paraId="780EA240">
      <w:pPr>
        <w:keepNext w:val="0"/>
        <w:keepLines w:val="0"/>
        <w:pageBreakBefore w:val="0"/>
        <w:widowControl/>
        <w:kinsoku w:val="0"/>
        <w:wordWrap/>
        <w:overflowPunct/>
        <w:topLinePunct w:val="0"/>
        <w:autoSpaceDE w:val="0"/>
        <w:autoSpaceDN w:val="0"/>
        <w:bidi w:val="0"/>
        <w:adjustRightInd w:val="0"/>
        <w:snapToGrid w:val="0"/>
        <w:spacing w:before="69" w:line="480" w:lineRule="auto"/>
        <w:jc w:val="center"/>
        <w:textAlignment w:val="baseline"/>
        <w:rPr>
          <w:rFonts w:hint="default" w:ascii="Times New Roman" w:hAnsi="Times New Roman" w:eastAsia="Times New Roman" w:cs="Times New Roman"/>
          <w:b/>
          <w:bCs/>
          <w:spacing w:val="-1"/>
          <w:sz w:val="24"/>
          <w:szCs w:val="24"/>
        </w:rPr>
      </w:pPr>
    </w:p>
    <w:p w14:paraId="4C077EDD">
      <w:pPr>
        <w:keepNext w:val="0"/>
        <w:keepLines w:val="0"/>
        <w:pageBreakBefore w:val="0"/>
        <w:widowControl/>
        <w:kinsoku w:val="0"/>
        <w:wordWrap/>
        <w:overflowPunct/>
        <w:topLinePunct w:val="0"/>
        <w:autoSpaceDE w:val="0"/>
        <w:autoSpaceDN w:val="0"/>
        <w:bidi w:val="0"/>
        <w:adjustRightInd w:val="0"/>
        <w:snapToGrid w:val="0"/>
        <w:spacing w:before="69" w:line="480" w:lineRule="auto"/>
        <w:jc w:val="center"/>
        <w:textAlignment w:val="baseline"/>
        <w:rPr>
          <w:rFonts w:hint="default" w:ascii="Times New Roman" w:hAnsi="Times New Roman" w:eastAsia="Times New Roman" w:cs="Times New Roman"/>
          <w:b/>
          <w:bCs/>
          <w:spacing w:val="-1"/>
          <w:sz w:val="24"/>
          <w:szCs w:val="24"/>
        </w:rPr>
      </w:pPr>
      <w:bookmarkStart w:id="0" w:name="_GoBack"/>
      <w:bookmarkEnd w:id="0"/>
      <w:r>
        <w:rPr>
          <w:rFonts w:hint="default" w:ascii="Times New Roman" w:hAnsi="Times New Roman" w:eastAsia="Times New Roman" w:cs="Times New Roman"/>
          <w:b/>
          <w:bCs/>
          <w:spacing w:val="-1"/>
          <w:sz w:val="24"/>
          <w:szCs w:val="24"/>
          <w:lang w:val="en-US" w:eastAsia="zh-CN"/>
        </w:rPr>
        <w:t>Apr</w:t>
      </w:r>
      <w:r>
        <w:rPr>
          <w:rFonts w:hint="default" w:ascii="Times New Roman" w:hAnsi="Times New Roman" w:eastAsia="Times New Roman" w:cs="Times New Roman"/>
          <w:b/>
          <w:bCs/>
          <w:spacing w:val="-1"/>
          <w:sz w:val="24"/>
          <w:szCs w:val="24"/>
        </w:rPr>
        <w:t>. 10th, 202</w:t>
      </w:r>
      <w:r>
        <w:rPr>
          <w:rFonts w:hint="default" w:ascii="Times New Roman" w:hAnsi="Times New Roman" w:eastAsia="Times New Roman" w:cs="Times New Roman"/>
          <w:b/>
          <w:bCs/>
          <w:spacing w:val="-1"/>
          <w:sz w:val="24"/>
          <w:szCs w:val="24"/>
          <w:lang w:val="en-US" w:eastAsia="zh-CN"/>
        </w:rPr>
        <w:t>6</w:t>
      </w:r>
    </w:p>
    <w:p w14:paraId="2D847E6D">
      <w:pPr>
        <w:keepNext w:val="0"/>
        <w:keepLines w:val="0"/>
        <w:pageBreakBefore w:val="0"/>
        <w:widowControl/>
        <w:kinsoku w:val="0"/>
        <w:wordWrap/>
        <w:overflowPunct/>
        <w:topLinePunct w:val="0"/>
        <w:autoSpaceDE w:val="0"/>
        <w:autoSpaceDN w:val="0"/>
        <w:bidi w:val="0"/>
        <w:adjustRightInd w:val="0"/>
        <w:snapToGrid w:val="0"/>
        <w:spacing w:before="69" w:line="480" w:lineRule="auto"/>
        <w:jc w:val="center"/>
        <w:textAlignment w:val="baseline"/>
        <w:rPr>
          <w:rFonts w:hint="default" w:ascii="Times New Roman" w:hAnsi="Times New Roman" w:cs="Times New Roman"/>
          <w:sz w:val="24"/>
          <w:szCs w:val="24"/>
        </w:rPr>
      </w:pPr>
      <w:r>
        <w:rPr>
          <w:rFonts w:hint="default" w:ascii="Times New Roman" w:hAnsi="Times New Roman" w:eastAsia="Times New Roman" w:cs="Times New Roman"/>
          <w:b/>
          <w:bCs/>
          <w:spacing w:val="-1"/>
          <w:sz w:val="24"/>
          <w:szCs w:val="24"/>
        </w:rPr>
        <w:t>(Wor</w:t>
      </w:r>
      <w:r>
        <w:rPr>
          <w:rFonts w:hint="default" w:ascii="Times New Roman" w:hAnsi="Times New Roman" w:eastAsia="Times New Roman" w:cs="Times New Roman"/>
          <w:b/>
          <w:bCs/>
          <w:spacing w:val="-1"/>
          <w:sz w:val="24"/>
          <w:szCs w:val="24"/>
          <w:lang w:val="en-US" w:eastAsia="zh-CN"/>
        </w:rPr>
        <w:t>ds: 22</w:t>
      </w:r>
      <w:r>
        <w:rPr>
          <w:rFonts w:hint="eastAsia" w:ascii="Times New Roman" w:hAnsi="Times New Roman" w:eastAsia="Times New Roman" w:cs="Times New Roman"/>
          <w:b/>
          <w:bCs/>
          <w:spacing w:val="-1"/>
          <w:sz w:val="24"/>
          <w:szCs w:val="24"/>
          <w:lang w:val="en-US" w:eastAsia="zh-CN"/>
        </w:rPr>
        <w:t>55</w:t>
      </w:r>
      <w:r>
        <w:rPr>
          <w:rFonts w:hint="default" w:ascii="Times New Roman" w:hAnsi="Times New Roman" w:eastAsia="Times New Roman" w:cs="Times New Roman"/>
          <w:b/>
          <w:bCs/>
          <w:spacing w:val="-1"/>
          <w:sz w:val="24"/>
          <w:szCs w:val="24"/>
          <w:lang w:val="en-US" w:eastAsia="zh-CN"/>
        </w:rPr>
        <w:t xml:space="preserve"> words)</w:t>
      </w:r>
    </w:p>
    <w:p w14:paraId="7DBB3EBB">
      <w:pPr>
        <w:spacing w:line="1152" w:lineRule="exact"/>
        <w:rPr>
          <w:rFonts w:hint="default" w:ascii="Times New Roman" w:hAnsi="Times New Roman" w:cs="Times New Roman"/>
          <w:sz w:val="24"/>
          <w:szCs w:val="24"/>
        </w:rPr>
        <w:sectPr>
          <w:pgSz w:w="11907" w:h="16839"/>
          <w:pgMar w:top="1429" w:right="1786" w:bottom="1429" w:left="1786" w:header="0" w:footer="0" w:gutter="0"/>
          <w:cols w:space="0" w:num="1"/>
          <w:rtlGutter w:val="0"/>
          <w:docGrid w:linePitch="0" w:charSpace="0"/>
        </w:sectPr>
      </w:pPr>
    </w:p>
    <w:p w14:paraId="1EAB6D9D">
      <w:pPr>
        <w:keepNext w:val="0"/>
        <w:keepLines w:val="0"/>
        <w:pageBreakBefore w:val="0"/>
        <w:widowControl/>
        <w:kinsoku w:val="0"/>
        <w:wordWrap/>
        <w:overflowPunct/>
        <w:topLinePunct w:val="0"/>
        <w:autoSpaceDE w:val="0"/>
        <w:autoSpaceDN w:val="0"/>
        <w:bidi w:val="0"/>
        <w:adjustRightInd w:val="0"/>
        <w:snapToGrid w:val="0"/>
        <w:spacing w:before="193" w:line="480" w:lineRule="auto"/>
        <w:textAlignment w:val="baseline"/>
        <w:rPr>
          <w:rFonts w:hint="default" w:ascii="Times New Roman" w:hAnsi="Times New Roman" w:eastAsia="Times New Roman" w:cs="Times New Roman"/>
          <w:b/>
          <w:bCs/>
          <w:spacing w:val="-1"/>
          <w:position w:val="1"/>
          <w:sz w:val="24"/>
          <w:szCs w:val="24"/>
        </w:rPr>
      </w:pPr>
      <w:r>
        <w:rPr>
          <w:rFonts w:hint="default" w:ascii="Times New Roman" w:hAnsi="Times New Roman" w:eastAsia="Times New Roman" w:cs="Times New Roman"/>
          <w:b/>
          <w:bCs/>
          <w:spacing w:val="-1"/>
          <w:position w:val="1"/>
          <w:sz w:val="24"/>
          <w:szCs w:val="24"/>
        </w:rPr>
        <w:t>Abstract</w:t>
      </w:r>
    </w:p>
    <w:p w14:paraId="536FAF62">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This autoethnographic study examines aesthetic markets—temporary, non-standardized consumption spaces in urban China—as sites where consumption desire is spatially produced rather than individually possessed. Drawing on field reflections from 2024 to 2026, the paper analyzes how these markets transform from mere transaction venues into "consumer-social composite spaces" through four interlocking mechanisms: spatial atmosphere and temporary scarcity, passive sociability generated by mutual watching, interaction rituals between creators and consumers, and routinized spatial participation. The findings reveal that aesthetic markets leverage spatial organization to convert private consumption decisions into publicly visible social events, embedding purchase behavior within interaction rituals that weaken economic rationality. While these spaces promise authenticity and escape from industrial consumerism, they may simultaneously represent a deeper penetration of capitalist logic into the spatial-aesthetic realm.</w:t>
      </w:r>
    </w:p>
    <w:p w14:paraId="18B8C11E">
      <w:pPr>
        <w:keepNext w:val="0"/>
        <w:keepLines w:val="0"/>
        <w:pageBreakBefore w:val="0"/>
        <w:widowControl/>
        <w:kinsoku w:val="0"/>
        <w:wordWrap/>
        <w:overflowPunct/>
        <w:topLinePunct w:val="0"/>
        <w:autoSpaceDE w:val="0"/>
        <w:autoSpaceDN w:val="0"/>
        <w:bidi w:val="0"/>
        <w:adjustRightInd w:val="0"/>
        <w:snapToGrid w:val="0"/>
        <w:spacing w:before="193" w:line="480" w:lineRule="auto"/>
        <w:textAlignment w:val="baseline"/>
        <w:rPr>
          <w:rFonts w:hint="default" w:ascii="Times New Roman" w:hAnsi="Times New Roman" w:eastAsia="宋体" w:cs="Times New Roman"/>
          <w:b/>
          <w:bCs/>
          <w:spacing w:val="-1"/>
          <w:position w:val="1"/>
          <w:sz w:val="24"/>
          <w:szCs w:val="24"/>
          <w:lang w:val="en-US" w:eastAsia="zh-CN"/>
        </w:rPr>
      </w:pPr>
      <w:r>
        <w:rPr>
          <w:rFonts w:hint="eastAsia" w:ascii="Times New Roman" w:hAnsi="Times New Roman" w:eastAsia="宋体" w:cs="Times New Roman"/>
          <w:b/>
          <w:bCs/>
          <w:spacing w:val="-1"/>
          <w:position w:val="1"/>
          <w:sz w:val="24"/>
          <w:szCs w:val="24"/>
          <w:lang w:val="en-US" w:eastAsia="zh-CN"/>
        </w:rPr>
        <w:t xml:space="preserve">Key Words: </w:t>
      </w:r>
      <w:r>
        <w:rPr>
          <w:rFonts w:hint="eastAsia" w:ascii="Times New Roman" w:hAnsi="Times New Roman" w:eastAsia="宋体" w:cs="Times New Roman"/>
          <w:b w:val="0"/>
          <w:bCs w:val="0"/>
          <w:spacing w:val="-1"/>
          <w:position w:val="1"/>
          <w:sz w:val="24"/>
          <w:szCs w:val="24"/>
          <w:lang w:val="en-US" w:eastAsia="zh-CN"/>
        </w:rPr>
        <w:t>Aesthetic Markets; Cultural Capital; Spatial Consumption Trajectory; Autoethnography; Consumer-Social Composite Spaces</w:t>
      </w:r>
    </w:p>
    <w:p w14:paraId="0DBCDE6F">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7"/>
        <w:textAlignment w:val="baseline"/>
        <w:rPr>
          <w:rFonts w:hint="default" w:ascii="Times New Roman" w:hAnsi="Times New Roman" w:eastAsia="Times New Roman" w:cs="Times New Roman"/>
          <w:b/>
          <w:bCs/>
          <w:spacing w:val="-1"/>
          <w:position w:val="1"/>
          <w:sz w:val="24"/>
          <w:szCs w:val="24"/>
        </w:rPr>
      </w:pPr>
    </w:p>
    <w:p w14:paraId="53DC32D4">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7"/>
        <w:textAlignment w:val="baseline"/>
        <w:rPr>
          <w:rFonts w:hint="default" w:ascii="Times New Roman" w:hAnsi="Times New Roman" w:eastAsia="Times New Roman" w:cs="Times New Roman"/>
          <w:b/>
          <w:bCs/>
          <w:spacing w:val="-1"/>
          <w:position w:val="1"/>
          <w:sz w:val="24"/>
          <w:szCs w:val="24"/>
        </w:rPr>
      </w:pPr>
    </w:p>
    <w:p w14:paraId="0482F75B">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7"/>
        <w:textAlignment w:val="baseline"/>
        <w:rPr>
          <w:rFonts w:hint="default" w:ascii="Times New Roman" w:hAnsi="Times New Roman" w:eastAsia="Times New Roman" w:cs="Times New Roman"/>
          <w:b/>
          <w:bCs/>
          <w:spacing w:val="-1"/>
          <w:position w:val="1"/>
          <w:sz w:val="24"/>
          <w:szCs w:val="24"/>
        </w:rPr>
      </w:pPr>
    </w:p>
    <w:p w14:paraId="75FD329F">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7"/>
        <w:textAlignment w:val="baseline"/>
        <w:rPr>
          <w:rFonts w:hint="default" w:ascii="Times New Roman" w:hAnsi="Times New Roman" w:eastAsia="Times New Roman" w:cs="Times New Roman"/>
          <w:b/>
          <w:bCs/>
          <w:spacing w:val="-1"/>
          <w:position w:val="1"/>
          <w:sz w:val="24"/>
          <w:szCs w:val="24"/>
        </w:rPr>
      </w:pPr>
    </w:p>
    <w:p w14:paraId="20AFF971">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7"/>
        <w:textAlignment w:val="baseline"/>
        <w:rPr>
          <w:rFonts w:hint="default" w:ascii="Times New Roman" w:hAnsi="Times New Roman" w:eastAsia="Times New Roman" w:cs="Times New Roman"/>
          <w:b/>
          <w:bCs/>
          <w:spacing w:val="-1"/>
          <w:position w:val="1"/>
          <w:sz w:val="24"/>
          <w:szCs w:val="24"/>
        </w:rPr>
      </w:pPr>
    </w:p>
    <w:p w14:paraId="41DE3A81">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7"/>
        <w:textAlignment w:val="baseline"/>
        <w:rPr>
          <w:rFonts w:hint="default" w:ascii="Times New Roman" w:hAnsi="Times New Roman" w:eastAsia="Times New Roman" w:cs="Times New Roman"/>
          <w:b/>
          <w:bCs/>
          <w:spacing w:val="-1"/>
          <w:position w:val="1"/>
          <w:sz w:val="24"/>
          <w:szCs w:val="24"/>
        </w:rPr>
      </w:pPr>
    </w:p>
    <w:p w14:paraId="4FB553BD">
      <w:pPr>
        <w:keepNext w:val="0"/>
        <w:keepLines w:val="0"/>
        <w:pageBreakBefore w:val="0"/>
        <w:widowControl/>
        <w:kinsoku w:val="0"/>
        <w:wordWrap/>
        <w:overflowPunct/>
        <w:topLinePunct w:val="0"/>
        <w:autoSpaceDE w:val="0"/>
        <w:autoSpaceDN w:val="0"/>
        <w:bidi w:val="0"/>
        <w:adjustRightInd w:val="0"/>
        <w:snapToGrid w:val="0"/>
        <w:spacing w:before="193" w:line="480" w:lineRule="auto"/>
        <w:textAlignment w:val="baseline"/>
        <w:rPr>
          <w:rFonts w:hint="default" w:ascii="Times New Roman" w:hAnsi="Times New Roman" w:eastAsia="Times New Roman" w:cs="Times New Roman"/>
          <w:b/>
          <w:bCs/>
          <w:spacing w:val="-1"/>
          <w:position w:val="1"/>
          <w:sz w:val="24"/>
          <w:szCs w:val="24"/>
        </w:rPr>
      </w:pPr>
      <w:r>
        <w:rPr>
          <w:rFonts w:hint="default" w:ascii="Times New Roman" w:hAnsi="Times New Roman" w:eastAsia="Times New Roman" w:cs="Times New Roman"/>
          <w:b/>
          <w:bCs/>
          <w:spacing w:val="-1"/>
          <w:position w:val="1"/>
          <w:sz w:val="24"/>
          <w:szCs w:val="24"/>
        </w:rPr>
        <w:t>Introduction</w:t>
      </w:r>
    </w:p>
    <w:p w14:paraId="741287D0">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In contemporary consumer society, the accessibility of commodities and transparency of information have reached unprecedented levels. Yet amid the saturation of standardized industrial products, a counter-movement has emerged: aesthetic markets—temporary, non-standardized urban gatherings held in repurposed factories, creative parks, and open plazas—have become significant weekend destinations for Chinese urban youth. These spaces operate through temporary occupation, creating fields suspended between the everyday and the extraordinary. Within them, traditional consumer logic—premised on brand premiums, performance parameters, and price comparisons—appears to collapse, replaced by a form of consumption where spatial atmosphere and social interaction override conventional rational evaluation. The rise of these markets signals a broader transformation in how urban youth negotiate identity, community, and value in an era of digital abundance and algorithmic recommendation, suggesting that the desire for unmediated human encounter remains resilient even within highly digitized consumer cultures. This resurgence of spatially embedded consumption challenges linear narratives of retail decline, pointing instead to a reconfiguration of how physical environments generate economic and affective value in the twenty-first century.</w:t>
      </w:r>
    </w:p>
    <w:p w14:paraId="0B5DD769">
      <w:pPr>
        <w:pStyle w:val="5"/>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60651EC0">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As a participant-observer in these markets between 2024 and 2026, I repeatedly experienced what I term "irrational infatuation": entering a market with no shopping list, yet leaving with expensive handmade items lacking brand endorsement, standardized quality assurance, or defensible price-to-value ratios. This was not mere transaction; it was an affective overflow catalyzed by spatial atmosphere. The phenomenon challenges the conventional assumption that digital transparency and e-commerce convenience have rendered spatial consumption obsolete. Instead, these markets demonstrate that physical space retains potent generative capacity for desire when organized around temporary scarcity, non-standardized production, and direct creator presence. The experience of paying premium prices for unbranded handicrafts suggests that value is increasingly located not in the commodity itself but in the spatial and social conditions of its encounter. Such experiences compel a re-examination of where consumption desire originates—not in individual psychology or marketing manipulation alone, but in the relational and atmospheric properties of specific spatial configurations.</w:t>
      </w:r>
    </w:p>
    <w:p w14:paraId="07616320">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20CB4349">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position w:val="0"/>
          <w:sz w:val="24"/>
          <w:szCs w:val="24"/>
        </w:rPr>
      </w:pPr>
      <w:r>
        <w:rPr>
          <w:rFonts w:hint="default" w:ascii="Times New Roman" w:hAnsi="Times New Roman" w:eastAsia="Constantia" w:cs="Times New Roman"/>
          <w:b w:val="0"/>
          <w:bCs w:val="0"/>
          <w:spacing w:val="0"/>
          <w:w w:val="100"/>
          <w:sz w:val="24"/>
          <w:szCs w:val="24"/>
        </w:rPr>
        <w:t>Mainstream luxury consumption, once dependent on logos and capital narratives for class distinction, is being demystified for younger generations. In its place, aesthetic markets offer a new promise: the reconstruction of Walter Benjamin's "aura" through the co-presence of creators, the uniqueness of handcrafted imperfection, and the immediacy of spatial interaction (Benjamin, 1968). This study asks: How do aesthetic markets, as distinctive consumer spaces, attract and immerse urban youth through spatial characteristics and social atmosphere? How do interactions among consumers, creators, and the spatial environment transform into mechanisms that intensify consumption desire, and how do they reshape young people's consumption logic and identity construction?</w:t>
      </w:r>
    </w:p>
    <w:p w14:paraId="6A77AEB4">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70981404">
      <w:pPr>
        <w:keepNext w:val="0"/>
        <w:keepLines w:val="0"/>
        <w:pageBreakBefore w:val="0"/>
        <w:widowControl/>
        <w:kinsoku w:val="0"/>
        <w:wordWrap/>
        <w:overflowPunct/>
        <w:topLinePunct w:val="0"/>
        <w:autoSpaceDE w:val="0"/>
        <w:autoSpaceDN w:val="0"/>
        <w:bidi w:val="0"/>
        <w:adjustRightInd w:val="0"/>
        <w:snapToGrid w:val="0"/>
        <w:spacing w:before="70" w:line="480" w:lineRule="auto"/>
        <w:ind w:left="18"/>
        <w:textAlignment w:val="baseline"/>
        <w:rPr>
          <w:rFonts w:hint="default" w:ascii="Times New Roman" w:hAnsi="Times New Roman" w:cs="Times New Roman"/>
          <w:sz w:val="24"/>
          <w:szCs w:val="24"/>
        </w:rPr>
      </w:pPr>
      <w:r>
        <w:rPr>
          <w:rFonts w:hint="default" w:ascii="Times New Roman" w:hAnsi="Times New Roman" w:eastAsia="Times New Roman" w:cs="Times New Roman"/>
          <w:b/>
          <w:bCs/>
          <w:spacing w:val="-2"/>
          <w:sz w:val="24"/>
          <w:szCs w:val="24"/>
        </w:rPr>
        <w:t>Literature Review</w:t>
      </w:r>
    </w:p>
    <w:p w14:paraId="1C9957D8">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Understanding these consumption practices requires situating them within classical sociological theory while incorporating spatial sociology. Baudrillard (1998) argues that in post-industrial society, consumption operates as a system of symbolic exchange where commodities function as markers of social distinction. Yet aesthetic markets complicate this framework: the goods purchased often lack the branded signifiers Baudrillard emphasizes. Instead, Bourdieu (1984) proves more directly applicable. His concept of cultural capital explains how consumers demonstrate status through the ability to appreciate non-standardized aesthetics and maintain critical distance from mainstream symbolic systems. The purchase of "nameless" handmade goods becomes a performance of discerning taste—a spatialized strategy of distinction that operates through recognition rather than conspicuous display.</w:t>
      </w:r>
    </w:p>
    <w:p w14:paraId="2B6B0D63">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p>
    <w:p w14:paraId="2845DC66">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cs="Times New Roman"/>
          <w:sz w:val="24"/>
          <w:szCs w:val="24"/>
        </w:rPr>
      </w:pPr>
      <w:r>
        <w:rPr>
          <w:rFonts w:hint="default" w:ascii="Times New Roman" w:hAnsi="Times New Roman" w:eastAsia="Constantia" w:cs="Times New Roman"/>
          <w:b w:val="0"/>
          <w:bCs w:val="0"/>
          <w:spacing w:val="0"/>
          <w:w w:val="100"/>
          <w:sz w:val="24"/>
          <w:szCs w:val="24"/>
        </w:rPr>
        <w:t>Benjamin's (1968) concept of aura further illuminates the appeal of handcrafted goods. The age of mechanical reproduction strips artworks of their unique existence; aesthetic markets constitute a reverse movement, reconstructing aura through fingerprint traces, firing imperfections, and creators' embodied narratives. However, to understand how these markets attract consumers and intensify desire, analysis must shift from commodities to space itself. Recent spatial sociology provides crucial tools. Xu (2025) demonstrates that malls function not merely as consumption venues but as spaces of cosmopolitan sociability. Anderson's (2004) "cosmopolitan canopy" reveals how urban public spaces allow people to "stretch themselves" psychologically and socially. Watson (2009) emphasizes markets as stages for stranger interaction, while Mehta (2019) distinguishes passive, fleeting, and enduring sociability—offering precise analytical categories for examining multi-layered spatial experiences. These theories frame aesthetic markets as "consumer-social composite spaces" where attraction is produced through spatial organization, atmosphere, and social interaction rather than commodity attributes alone.</w:t>
      </w:r>
    </w:p>
    <w:p w14:paraId="3C835D0A">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5382A4CB">
      <w:pPr>
        <w:keepNext w:val="0"/>
        <w:keepLines w:val="0"/>
        <w:pageBreakBefore w:val="0"/>
        <w:widowControl/>
        <w:kinsoku w:val="0"/>
        <w:wordWrap/>
        <w:overflowPunct/>
        <w:topLinePunct w:val="0"/>
        <w:autoSpaceDE w:val="0"/>
        <w:autoSpaceDN w:val="0"/>
        <w:bidi w:val="0"/>
        <w:adjustRightInd w:val="0"/>
        <w:snapToGrid w:val="0"/>
        <w:spacing w:before="69" w:line="480" w:lineRule="auto"/>
        <w:ind w:left="18"/>
        <w:textAlignment w:val="baseline"/>
        <w:rPr>
          <w:rFonts w:hint="default" w:ascii="Times New Roman" w:hAnsi="Times New Roman" w:cs="Times New Roman"/>
          <w:sz w:val="24"/>
          <w:szCs w:val="24"/>
        </w:rPr>
      </w:pPr>
      <w:r>
        <w:rPr>
          <w:rFonts w:hint="default" w:ascii="Times New Roman" w:hAnsi="Times New Roman" w:eastAsia="Times New Roman" w:cs="Times New Roman"/>
          <w:b/>
          <w:bCs/>
          <w:spacing w:val="-1"/>
          <w:sz w:val="24"/>
          <w:szCs w:val="24"/>
        </w:rPr>
        <w:t>Methodology</w:t>
      </w:r>
    </w:p>
    <w:p w14:paraId="33204481">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This study employs autoethnography, a method combining autobiography with ethnographic analysis, using the self as a research instrument to reveal broader cultural patterns through systematic self-reflection (Ellis et al., 2011). Traditional surveys or structured interviews cannot capture the affective texture and subtle meaning-flow of aesthetic market consumption. Data sources include social media notes, psychological post-mortems of purchases, recalled vendor conversations, and atmospheric observations from markets attended between 2024 and 2026. Analysis moves between internal experience and external social structure, interpreting personal practice within the macro-context of consumer society. The autoethnographic approach is particularly suited here because the research question concerns precisely those experiential dimensions—embodied sensation, emotional response, and spontaneous decision-making—that resist standardized measurement and require first-person access to subjective process.</w:t>
      </w:r>
    </w:p>
    <w:p w14:paraId="50AD387F">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rPr>
      </w:pPr>
    </w:p>
    <w:p w14:paraId="608CA230">
      <w:pPr>
        <w:pageBreakBefore w:val="0"/>
        <w:widowControl/>
        <w:kinsoku w:val="0"/>
        <w:wordWrap/>
        <w:overflowPunct/>
        <w:topLinePunct w:val="0"/>
        <w:autoSpaceDE w:val="0"/>
        <w:autoSpaceDN w:val="0"/>
        <w:bidi w:val="0"/>
        <w:adjustRightInd w:val="0"/>
        <w:snapToGrid w:val="0"/>
        <w:spacing w:before="69" w:line="480" w:lineRule="auto"/>
        <w:ind w:left="19"/>
        <w:textAlignment w:val="baseline"/>
        <w:rPr>
          <w:rFonts w:hint="default" w:ascii="Times New Roman" w:hAnsi="Times New Roman" w:eastAsia="Times New Roman" w:cs="Times New Roman"/>
          <w:sz w:val="24"/>
          <w:szCs w:val="24"/>
        </w:rPr>
      </w:pPr>
      <w:r>
        <w:rPr>
          <w:rFonts w:hint="default" w:ascii="Times New Roman" w:hAnsi="Times New Roman" w:eastAsia="Times New Roman" w:cs="Times New Roman"/>
          <w:b/>
          <w:bCs/>
          <w:spacing w:val="-1"/>
          <w:sz w:val="24"/>
          <w:szCs w:val="24"/>
        </w:rPr>
        <w:t>Findings &amp; Discussion</w:t>
      </w:r>
    </w:p>
    <w:p w14:paraId="2BA4CBCE">
      <w:pPr>
        <w:pStyle w:val="3"/>
        <w:keepNext/>
        <w:keepLines/>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Times New Roman" w:cs="Times New Roman"/>
          <w:b/>
          <w:bCs/>
          <w:snapToGrid w:val="0"/>
          <w:color w:val="000000"/>
          <w:spacing w:val="-1"/>
          <w:kern w:val="0"/>
          <w:sz w:val="24"/>
          <w:szCs w:val="24"/>
          <w:lang w:val="en-US" w:eastAsia="en-US" w:bidi="ar-SA"/>
        </w:rPr>
      </w:pPr>
      <w:r>
        <w:rPr>
          <w:rFonts w:hint="default" w:ascii="Times New Roman" w:hAnsi="Times New Roman" w:eastAsia="Times New Roman" w:cs="Times New Roman"/>
          <w:b/>
          <w:bCs/>
          <w:snapToGrid w:val="0"/>
          <w:color w:val="000000"/>
          <w:spacing w:val="-1"/>
          <w:kern w:val="0"/>
          <w:sz w:val="24"/>
          <w:szCs w:val="24"/>
          <w:lang w:val="en-US" w:eastAsia="en-US" w:bidi="ar-SA"/>
        </w:rPr>
        <w:t>4.1 Space as Attractor: From Transaction Venue to Social Space</w:t>
      </w:r>
    </w:p>
    <w:p w14:paraId="76A06AC8">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Aesthetic markets attract participants primarily through spatial distinctiveness. Unlike the "eternal presence" of department stores or e-commerce, these markets operate through temporary occupation—weekend-only openings, pop-up arrangements, and seasonal themes—generating spatial urgency: "if not now, missed forever." Xu's (2025) finding that consumers visit malls for atmosphere and cultural landscape applies equally here. Upon entering a converted factory-space market, what captivates is not any specific commodity but the ambient totality: industrial ceilings hung with artisans' banners, sunlight through skylights illuminating staggered stalls, curated crowds displaying refined taste. This constitutes "pre-consumption consumption"—immersion in aesthetic atmosphere precedes and conditions any purchase decision. The spatial experience becomes a form of consumption in itself, generating satisfaction independent of acquisition through the sheer pleasure of being enveloped by curated atmosphere. The architectural rawness of repurposed industrial spaces, combined with carefully orchestrated lighting and sound, produces an aesthetic environment that feels simultaneously authentic and staged, allowing visitors to experience themselves as participants in something culturally significant rather than mere shoppers.</w:t>
      </w:r>
    </w:p>
    <w:p w14:paraId="455E850C">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p>
    <w:p w14:paraId="535E01F7">
      <w:pPr>
        <w:keepNext w:val="0"/>
        <w:keepLines w:val="0"/>
        <w:pageBreakBefore w:val="0"/>
        <w:widowControl/>
        <w:kinsoku w:val="0"/>
        <w:wordWrap/>
        <w:overflowPunct/>
        <w:topLinePunct w:val="0"/>
        <w:autoSpaceDE w:val="0"/>
        <w:autoSpaceDN w:val="0"/>
        <w:bidi w:val="0"/>
        <w:adjustRightInd w:val="0"/>
        <w:snapToGrid w:val="0"/>
        <w:spacing w:before="74" w:line="480" w:lineRule="auto"/>
        <w:ind w:left="17" w:right="170" w:firstLine="6"/>
        <w:textAlignment w:val="baseline"/>
        <w:rPr>
          <w:rFonts w:hint="default" w:ascii="Times New Roman" w:hAnsi="Times New Roman" w:eastAsia="Constantia" w:cs="Times New Roman"/>
          <w:b w:val="0"/>
          <w:bCs w:val="0"/>
          <w:spacing w:val="0"/>
          <w:w w:val="100"/>
          <w:sz w:val="24"/>
          <w:szCs w:val="24"/>
        </w:rPr>
      </w:pPr>
      <w:r>
        <w:rPr>
          <w:rFonts w:hint="default" w:ascii="Times New Roman" w:hAnsi="Times New Roman" w:eastAsia="Constantia" w:cs="Times New Roman"/>
          <w:b w:val="0"/>
          <w:bCs w:val="0"/>
          <w:spacing w:val="0"/>
          <w:w w:val="100"/>
          <w:sz w:val="24"/>
          <w:szCs w:val="24"/>
        </w:rPr>
        <w:t>Spatial layout encourages flâneur-like exploration. Stalls maintain open yet bounded distances, permitting uncoerced browsing. Anderson's (2004) cosmopolitan canopy—spaces open enough for difference yet safe enough to reduce social risk—accurately describes these markets. One can linger at a stall, converse with creators, handle products, and depart without purchase, free from the "don't touch" pressure of conventional retail. This low-pressure atmosphere paradoxically extends dwell time, directly increasing conversion probability. Repeated visits reveal a shift in motivation: I arrive not with shopping lists but with aesthetic anticipation of "entering this space." The market has successfully transformed from consumption venue into social space where presence itself constitutes the primary activity and source of value, rendering the boundary between shopping and socializing increasingly indistinct.</w:t>
      </w:r>
    </w:p>
    <w:p w14:paraId="145696B0">
      <w:pPr>
        <w:pStyle w:val="3"/>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bCs/>
          <w:snapToGrid w:val="0"/>
          <w:color w:val="000000"/>
          <w:spacing w:val="0"/>
          <w:w w:val="100"/>
          <w:kern w:val="0"/>
          <w:sz w:val="24"/>
          <w:szCs w:val="24"/>
          <w:lang w:val="en-US" w:eastAsia="en-US" w:bidi="ar-SA"/>
        </w:rPr>
      </w:pPr>
      <w:r>
        <w:rPr>
          <w:rFonts w:hint="default" w:ascii="Times New Roman" w:hAnsi="Times New Roman" w:eastAsia="Constantia" w:cs="Times New Roman"/>
          <w:b/>
          <w:bCs/>
          <w:snapToGrid w:val="0"/>
          <w:color w:val="000000"/>
          <w:spacing w:val="0"/>
          <w:w w:val="100"/>
          <w:kern w:val="0"/>
          <w:sz w:val="24"/>
          <w:szCs w:val="24"/>
          <w:lang w:val="en-US" w:eastAsia="en-US" w:bidi="ar-SA"/>
        </w:rPr>
        <w:t>4.2 Watching and Passive Sociability: The Visual Production of Desire</w:t>
      </w:r>
    </w:p>
    <w:p w14:paraId="3BB99E96">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Consumption desire in these markets is largely visually generated. Watching operates dually: my gaze upon commodities, and my visibility as watcher within the crowd. Goffman (1963) notes that strangers in public space exist in continuous mutual visibility even without verbal exchange. At market stalls, I frequently stand beside unknown others, jointly contemplating handmade objects. This shared gaze creates passive sociability (Mehta, 2019): silence binds us into temporary micro-audiences. As dwell time lengthens and crowds gather, commodities acquire an illusion of collective validation, amplifying purchase desire through social proof that requires no explicit communication. The mere presence of other interested bodies transforms individual preference into perceived collective recognition.</w:t>
      </w:r>
    </w:p>
    <w:p w14:paraId="18E2482F">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p>
    <w:p w14:paraId="38D04AEA">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The creator's presence intensifies this dynamic. Examining a ceramic plate, I sense the artisan's expectant gaze—not the standardized promotional stare of retail staff, but a creator's natural response to their work being observed. This transforms my watching into an "invited" act: behind the object stands a real person observing my reaction. Goffman's (1967) face-work requires maintaining consistent self-presentation during interaction. In market space, prolonged contemplation followed by visible withdrawal generates social awkwardness—a perceived inconsistency between aesthetic commitment and behavior. Purchase becomes the natural "interaction repair." Thus the market converts private consumption decisions into publicly visible events. Unlike online shopping's entirely private cart additions and deletions, every gaze, touch, and inquiry here is socially visible, dramatically increasing browse-to-purchase conversion through the subtle but persistent pressure of co-presence. This transformation of consumption from private calculation to public performance fundamentally alters the psychological stakes of purchase decisions.</w:t>
      </w:r>
    </w:p>
    <w:p w14:paraId="249A3B20">
      <w:pPr>
        <w:pStyle w:val="3"/>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bCs/>
          <w:snapToGrid w:val="0"/>
          <w:color w:val="000000"/>
          <w:spacing w:val="0"/>
          <w:w w:val="100"/>
          <w:kern w:val="0"/>
          <w:sz w:val="24"/>
          <w:szCs w:val="24"/>
          <w:lang w:val="en-US" w:eastAsia="en-US" w:bidi="ar-SA"/>
        </w:rPr>
      </w:pPr>
      <w:r>
        <w:rPr>
          <w:rFonts w:hint="default" w:ascii="Times New Roman" w:hAnsi="Times New Roman" w:eastAsia="Constantia" w:cs="Times New Roman"/>
          <w:b/>
          <w:bCs/>
          <w:snapToGrid w:val="0"/>
          <w:color w:val="000000"/>
          <w:spacing w:val="0"/>
          <w:w w:val="100"/>
          <w:kern w:val="0"/>
          <w:sz w:val="24"/>
          <w:szCs w:val="24"/>
          <w:lang w:val="en-US" w:eastAsia="en-US" w:bidi="ar-SA"/>
        </w:rPr>
        <w:t>4.3 Interaction Rituals: From Conversation to Obligation</w:t>
      </w:r>
    </w:p>
    <w:p w14:paraId="5FF0AC10">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If passive sociability stimulates desire through watching, verbal interaction transforms it into purchase behavior. Xu (2025) defines fleeting sociability as temporary connections established through brief stranger conversations. In aesthetic markets, vendor dialogue exemplifies this. When inquiring about a micro-crochet brooch, the vendor rarely states a price immediately. Instead, she shares creation narratives—observing dawn redwood leaves for a week, experimenting with dye mixtures seven times to achieve the precise color of rain-soaked moss. This narrative strategy converts price inquiry into life-story sharing, transforming the consumer from cold "buyer" into "listener" and "supporter" (McCracken, 1986). The transaction becomes emotionally inflected, making it difficult to evaluate the exchange through purely economic criteria. The personal narrative functions as a form of immaterial labor that adds value to the object while simultaneously complicating the consumer's ability to assess it through conventional market logic.</w:t>
      </w:r>
    </w:p>
    <w:p w14:paraId="3D326B68">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p>
    <w:p w14:paraId="4E1E9E24">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Within this conversational frame, economic rationality weakens. In department stores, I instinctively price-compare via smartphone—behavior carrying no psychological burden because both parties recognize industrial standardization. In aesthetic markets, bargaining signals disrespect for artistic labor, dissolving comparison desire through moral constraint. Kozinets et al. (2004) demonstrate that specific spatial arrangements activate ritualistic participation, weakening economic calculation. Markets' pop-up nature and objects' singularity generate "serendipity"—the uniqueness of "here, now, this object" compels rapid decision, bypassing rational evaluation. Moreover, sustained engagement with creators generates latent "purchase obligation" to maintain consistent aesthetic identity. Purchase becomes the natural conclusion to pleasant conversation and appropriate response to shared creative narrative. The market embeds decisions within interaction rituals where "not purchasing" requires active social effort to justify or awkwardly withdraw, effectively reversing the default logic of consumer choice.</w:t>
      </w:r>
    </w:p>
    <w:p w14:paraId="2536DF44">
      <w:pPr>
        <w:pStyle w:val="3"/>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bCs/>
          <w:snapToGrid w:val="0"/>
          <w:color w:val="000000"/>
          <w:spacing w:val="0"/>
          <w:w w:val="100"/>
          <w:kern w:val="0"/>
          <w:sz w:val="24"/>
          <w:szCs w:val="24"/>
          <w:lang w:val="en-US" w:eastAsia="en-US" w:bidi="ar-SA"/>
        </w:rPr>
      </w:pPr>
      <w:r>
        <w:rPr>
          <w:rFonts w:hint="default" w:ascii="Times New Roman" w:hAnsi="Times New Roman" w:eastAsia="Constantia" w:cs="Times New Roman"/>
          <w:b/>
          <w:bCs/>
          <w:snapToGrid w:val="0"/>
          <w:color w:val="000000"/>
          <w:spacing w:val="0"/>
          <w:w w:val="100"/>
          <w:kern w:val="0"/>
          <w:sz w:val="24"/>
          <w:szCs w:val="24"/>
          <w:lang w:val="en-US" w:eastAsia="en-US" w:bidi="ar-SA"/>
        </w:rPr>
        <w:t>4.4 Routinized Return: From Serendipity to Habit</w:t>
      </w:r>
    </w:p>
    <w:p w14:paraId="2F762F9C">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Market influence extends beyond single visits through routinized spatial return. Xu (2025) finds that repeated cross-cultural encounters in specific spaces produce routinized sociability—skills and attitudes internalized through habitual practice. My market visits evolved from accidental discovery into weekend routines. Habitual searching for "markets this weekend" on social media, and forming fixed "market buddy" groups, signals successful penetration into daily life rhythm and the formation of a consumption community organized around shared spatial practice rather than shared product preferences. The market becomes integrated into personal and social calendars, transforming occasional leisure into anticipated ritual.</w:t>
      </w:r>
    </w:p>
    <w:p w14:paraId="00499DEA">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p>
    <w:p w14:paraId="5C0575AE">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lang w:val="en-US" w:eastAsia="en-US"/>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This routinization rests on the promise of an "aesthetic lifestyle." Noble (2013) argues repeated spatial practices transform external behaviors into internal dispositions. Repeated market attendance confirms and performs identity: I am someone appreciating independent design, supporting original creation, pursuing authenticity. Bourdieu's (1984) distinction acquires spatialized dimension—taste is demonstrated not merely through purchasing nameless goods but through the spatial practice of presence itself. In traditional malls, cultural capital displays through post-purchase possession and visible branding; in aesthetic markets, "being present" itself constitutes distinction strategy. Periodic scheduling solidifies sporadic impulse into stable lifestyle practice, transforming spatial attraction from contingent event into habitual social-aesthetic participation that reinforces group belonging and sustains long-term consumer engagement beyond any single transaction. Over time, the market ceases to be an occasional destination and becomes an integral component of self-fashioning and social positioning.</w:t>
      </w:r>
    </w:p>
    <w:p w14:paraId="16E16684">
      <w:pPr>
        <w:pStyle w:val="5"/>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cs="Times New Roman"/>
          <w:sz w:val="24"/>
          <w:szCs w:val="24"/>
          <w:lang w:val="en-US" w:eastAsia="en-US"/>
        </w:rPr>
      </w:pPr>
    </w:p>
    <w:p w14:paraId="7E79D687">
      <w:pPr>
        <w:pageBreakBefore w:val="0"/>
        <w:widowControl/>
        <w:kinsoku w:val="0"/>
        <w:wordWrap/>
        <w:overflowPunct/>
        <w:topLinePunct w:val="0"/>
        <w:autoSpaceDE w:val="0"/>
        <w:autoSpaceDN w:val="0"/>
        <w:bidi w:val="0"/>
        <w:adjustRightInd w:val="0"/>
        <w:snapToGrid w:val="0"/>
        <w:spacing w:before="70" w:line="480" w:lineRule="auto"/>
        <w:textAlignment w:val="baseline"/>
        <w:rPr>
          <w:rFonts w:hint="default" w:ascii="Times New Roman" w:hAnsi="Times New Roman" w:cs="Times New Roman"/>
          <w:sz w:val="24"/>
          <w:szCs w:val="24"/>
        </w:rPr>
      </w:pPr>
      <w:r>
        <w:rPr>
          <w:rFonts w:hint="default" w:ascii="Times New Roman" w:hAnsi="Times New Roman" w:eastAsia="Times New Roman" w:cs="Times New Roman"/>
          <w:b/>
          <w:bCs/>
          <w:spacing w:val="-1"/>
          <w:sz w:val="24"/>
          <w:szCs w:val="24"/>
        </w:rPr>
        <w:t>Conclusion</w:t>
      </w:r>
    </w:p>
    <w:p w14:paraId="547EFBCF">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This autoethnographic study reveals aesthetic markets as "consumer-social composite spaces" where desire is spatially produced rather than individually possessed. Four interlocking mechanisms drive this process. First, temporary spatial occupation and atmospheric design transform markets from transaction venues into social spaces where presence itself constitutes the primary activity. Second, mutual watching generates passive sociability, converting private decisions into publicly visible events. Third, creator-consumer interaction rituals embed purchase within social obligation, weakening economic rationality through narrative and emotional engagement. Fourth, periodic scheduling routinizes spatial return, solidifying consumption into lifestyle habit and identity performance that transcends individual purchase events. Together, these mechanisms demonstrate that aesthetic markets do not simply facilitate exchange but actively produce the conditions under which desire emerges, intensifies, and crystallizes into consumption behavior.</w:t>
      </w:r>
    </w:p>
    <w:p w14:paraId="144825D5">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p>
    <w:p w14:paraId="03E62459">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pPr>
      <w:r>
        <w:rPr>
          <w:rFonts w:hint="default" w:ascii="Times New Roman" w:hAnsi="Times New Roman" w:eastAsia="Constantia" w:cs="Times New Roman"/>
          <w:b w:val="0"/>
          <w:bCs w:val="0"/>
          <w:snapToGrid w:val="0"/>
          <w:color w:val="000000"/>
          <w:spacing w:val="0"/>
          <w:w w:val="100"/>
          <w:kern w:val="0"/>
          <w:sz w:val="24"/>
          <w:szCs w:val="24"/>
          <w:lang w:val="en-US" w:eastAsia="en-US" w:bidi="ar-SA"/>
        </w:rPr>
        <w:t>Yet critical questions persist. Does this spatial consumption of "authenticity" genuinely escape consumerist alienation, or represent capitalism's deeper penetration into spatial-aesthetic logic? As temporary uniqueness and creator presence become replicable marketing templates adopted by commercial brands, will these spaces' distinctive attraction gradually dissolve into yet another standardized consumption format? These questions remain unresolved. What remains undeniable is the experiential reality: when atmosphere envelops, strangers' shared gazes converge, and creators' narratives resonate, the sense of presence, encounter, and human-object connection offers something algorithmic recommendation and standardized retail cannot replicate. This small personal practice demonstrates that in consumer society, space is not merely commodity container but desire's theater—we are not only symbols' captives, but meaning-weaving actors within specific spaces.</w:t>
      </w:r>
    </w:p>
    <w:p w14:paraId="445308DF">
      <w:pPr>
        <w:pageBreakBefore w:val="0"/>
        <w:widowControl/>
        <w:kinsoku w:val="0"/>
        <w:wordWrap/>
        <w:overflowPunct/>
        <w:topLinePunct w:val="0"/>
        <w:autoSpaceDE w:val="0"/>
        <w:autoSpaceDN w:val="0"/>
        <w:bidi w:val="0"/>
        <w:adjustRightInd w:val="0"/>
        <w:snapToGrid w:val="0"/>
        <w:spacing w:line="480" w:lineRule="auto"/>
        <w:textAlignment w:val="baseline"/>
        <w:rPr>
          <w:rFonts w:hint="default" w:ascii="Times New Roman" w:hAnsi="Times New Roman" w:eastAsia="Constantia" w:cs="Times New Roman"/>
          <w:b w:val="0"/>
          <w:bCs w:val="0"/>
          <w:snapToGrid w:val="0"/>
          <w:color w:val="000000"/>
          <w:spacing w:val="0"/>
          <w:w w:val="100"/>
          <w:kern w:val="0"/>
          <w:sz w:val="24"/>
          <w:szCs w:val="24"/>
          <w:lang w:val="en-US" w:eastAsia="en-US" w:bidi="ar-SA"/>
        </w:rPr>
        <w:sectPr>
          <w:pgSz w:w="11907" w:h="16839"/>
          <w:pgMar w:top="1429" w:right="1786" w:bottom="1429" w:left="1786" w:header="0" w:footer="0" w:gutter="0"/>
          <w:cols w:space="0" w:num="1"/>
          <w:rtlGutter w:val="0"/>
          <w:docGrid w:linePitch="0" w:charSpace="0"/>
        </w:sectPr>
      </w:pPr>
    </w:p>
    <w:p w14:paraId="6F591DD7">
      <w:pPr>
        <w:keepNext w:val="0"/>
        <w:keepLines w:val="0"/>
        <w:pageBreakBefore w:val="0"/>
        <w:widowControl/>
        <w:kinsoku w:val="0"/>
        <w:wordWrap/>
        <w:overflowPunct/>
        <w:topLinePunct w:val="0"/>
        <w:autoSpaceDE w:val="0"/>
        <w:autoSpaceDN w:val="0"/>
        <w:bidi w:val="0"/>
        <w:adjustRightInd w:val="0"/>
        <w:snapToGrid w:val="0"/>
        <w:spacing w:before="193" w:line="480" w:lineRule="auto"/>
        <w:ind w:left="18"/>
        <w:textAlignment w:val="baseline"/>
        <w:rPr>
          <w:rFonts w:hint="default" w:ascii="Times New Roman" w:hAnsi="Times New Roman" w:eastAsia="Times New Roman" w:cs="Times New Roman"/>
          <w:sz w:val="24"/>
          <w:szCs w:val="24"/>
        </w:rPr>
      </w:pPr>
      <w:r>
        <w:rPr>
          <w:rFonts w:hint="default" w:ascii="Times New Roman" w:hAnsi="Times New Roman" w:eastAsia="Times New Roman" w:cs="Times New Roman"/>
          <w:b/>
          <w:bCs/>
          <w:spacing w:val="-2"/>
          <w:position w:val="1"/>
          <w:sz w:val="24"/>
          <w:szCs w:val="24"/>
        </w:rPr>
        <w:t>Reference</w:t>
      </w:r>
    </w:p>
    <w:p w14:paraId="04B81B41">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Amin, A. (2002). Ethnicity and the multicultural city: Living with diversity. </w:t>
      </w:r>
      <w:r>
        <w:rPr>
          <w:rFonts w:hint="default" w:ascii="Times New Roman" w:hAnsi="Times New Roman" w:eastAsia="Constantia" w:cs="Times New Roman"/>
          <w:b w:val="0"/>
          <w:bCs w:val="0"/>
          <w:i/>
          <w:iCs/>
          <w:spacing w:val="0"/>
          <w:sz w:val="24"/>
          <w:szCs w:val="24"/>
        </w:rPr>
        <w:t>Environment and Planning A, 34(6)</w:t>
      </w:r>
      <w:r>
        <w:rPr>
          <w:rFonts w:hint="default" w:ascii="Times New Roman" w:hAnsi="Times New Roman" w:eastAsia="Constantia" w:cs="Times New Roman"/>
          <w:b w:val="0"/>
          <w:bCs w:val="0"/>
          <w:spacing w:val="0"/>
          <w:sz w:val="24"/>
          <w:szCs w:val="24"/>
        </w:rPr>
        <w:t>, 959–980.</w:t>
      </w:r>
      <w:r>
        <w:rPr>
          <w:rFonts w:hint="default" w:ascii="Times New Roman" w:hAnsi="Times New Roman" w:eastAsia="Constantia"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t>http://dx.doi.org/10.1068/a3537</w:t>
      </w:r>
    </w:p>
    <w:p w14:paraId="4B0985C8">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Anderson, E. (2004). The cosmopolitan canopy. </w:t>
      </w:r>
      <w:r>
        <w:rPr>
          <w:rFonts w:hint="default" w:ascii="Times New Roman" w:hAnsi="Times New Roman" w:eastAsia="Constantia" w:cs="Times New Roman"/>
          <w:b w:val="0"/>
          <w:bCs w:val="0"/>
          <w:i/>
          <w:iCs/>
          <w:spacing w:val="0"/>
          <w:sz w:val="24"/>
          <w:szCs w:val="24"/>
        </w:rPr>
        <w:t>The ANNALS of the American Academy of Political and Social Science, 595(1)</w:t>
      </w:r>
      <w:r>
        <w:rPr>
          <w:rFonts w:hint="default" w:ascii="Times New Roman" w:hAnsi="Times New Roman" w:eastAsia="Constantia" w:cs="Times New Roman"/>
          <w:b w:val="0"/>
          <w:bCs w:val="0"/>
          <w:spacing w:val="0"/>
          <w:sz w:val="24"/>
          <w:szCs w:val="24"/>
        </w:rPr>
        <w:t>, 14–31.</w:t>
      </w:r>
      <w:r>
        <w:rPr>
          <w:rFonts w:hint="default" w:ascii="Times New Roman" w:hAnsi="Times New Roman" w:eastAsia="宋体"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fldChar w:fldCharType="begin"/>
      </w:r>
      <w:r>
        <w:rPr>
          <w:rFonts w:hint="default" w:ascii="Times New Roman" w:hAnsi="Times New Roman" w:eastAsia="Constantia" w:cs="Times New Roman"/>
          <w:b w:val="0"/>
          <w:bCs w:val="0"/>
          <w:spacing w:val="0"/>
          <w:sz w:val="24"/>
          <w:szCs w:val="24"/>
        </w:rPr>
        <w:instrText xml:space="preserve"> HYPERLINK "https://psycnet.apa.org/doi/10.1177/0002716204266833" \t "https://psycnet.apa.org/record/_blank" </w:instrText>
      </w:r>
      <w:r>
        <w:rPr>
          <w:rFonts w:hint="default" w:ascii="Times New Roman" w:hAnsi="Times New Roman" w:eastAsia="Constantia" w:cs="Times New Roman"/>
          <w:b w:val="0"/>
          <w:bCs w:val="0"/>
          <w:spacing w:val="0"/>
          <w:sz w:val="24"/>
          <w:szCs w:val="24"/>
        </w:rPr>
        <w:fldChar w:fldCharType="separate"/>
      </w:r>
      <w:r>
        <w:rPr>
          <w:rFonts w:hint="default" w:ascii="Times New Roman" w:hAnsi="Times New Roman" w:eastAsia="Constantia" w:cs="Times New Roman"/>
          <w:b w:val="0"/>
          <w:bCs w:val="0"/>
          <w:spacing w:val="0"/>
          <w:sz w:val="24"/>
          <w:szCs w:val="24"/>
        </w:rPr>
        <w:t>https://doi.org/10.1177/0002716204266833</w:t>
      </w:r>
      <w:r>
        <w:rPr>
          <w:rFonts w:hint="default" w:ascii="Times New Roman" w:hAnsi="Times New Roman" w:eastAsia="Constantia" w:cs="Times New Roman"/>
          <w:b w:val="0"/>
          <w:bCs w:val="0"/>
          <w:spacing w:val="0"/>
          <w:sz w:val="24"/>
          <w:szCs w:val="24"/>
        </w:rPr>
        <w:fldChar w:fldCharType="end"/>
      </w:r>
    </w:p>
    <w:p w14:paraId="57412A23">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Constantia"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Baudrillard, J. (1998). </w:t>
      </w:r>
      <w:r>
        <w:rPr>
          <w:rFonts w:hint="default" w:ascii="Times New Roman" w:hAnsi="Times New Roman" w:eastAsia="Constantia" w:cs="Times New Roman"/>
          <w:b w:val="0"/>
          <w:bCs w:val="0"/>
          <w:i/>
          <w:iCs/>
          <w:spacing w:val="0"/>
          <w:sz w:val="24"/>
          <w:szCs w:val="24"/>
        </w:rPr>
        <w:t>The consumer society: Myths and structures</w:t>
      </w:r>
      <w:r>
        <w:rPr>
          <w:rFonts w:hint="default" w:ascii="Times New Roman" w:hAnsi="Times New Roman" w:eastAsia="Constantia" w:cs="Times New Roman"/>
          <w:b w:val="0"/>
          <w:bCs w:val="0"/>
          <w:spacing w:val="0"/>
          <w:sz w:val="24"/>
          <w:szCs w:val="24"/>
        </w:rPr>
        <w:t>. Sage.</w:t>
      </w:r>
      <w:r>
        <w:rPr>
          <w:rFonts w:hint="default" w:ascii="Times New Roman" w:hAnsi="Times New Roman" w:eastAsia="Constantia"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t>DOI:</w:t>
      </w:r>
      <w:r>
        <w:rPr>
          <w:rFonts w:hint="default" w:ascii="Times New Roman" w:hAnsi="Times New Roman" w:eastAsia="Constantia" w:cs="Times New Roman"/>
          <w:b w:val="0"/>
          <w:bCs w:val="0"/>
          <w:spacing w:val="0"/>
          <w:sz w:val="24"/>
          <w:szCs w:val="24"/>
        </w:rPr>
        <w:fldChar w:fldCharType="begin"/>
      </w:r>
      <w:r>
        <w:rPr>
          <w:rFonts w:hint="default" w:ascii="Times New Roman" w:hAnsi="Times New Roman" w:eastAsia="Constantia" w:cs="Times New Roman"/>
          <w:b w:val="0"/>
          <w:bCs w:val="0"/>
          <w:spacing w:val="0"/>
          <w:sz w:val="24"/>
          <w:szCs w:val="24"/>
        </w:rPr>
        <w:instrText xml:space="preserve"> HYPERLINK "https://doi.org/10.4135/9781526401502" </w:instrText>
      </w:r>
      <w:r>
        <w:rPr>
          <w:rFonts w:hint="default" w:ascii="Times New Roman" w:hAnsi="Times New Roman" w:eastAsia="Constantia" w:cs="Times New Roman"/>
          <w:b w:val="0"/>
          <w:bCs w:val="0"/>
          <w:spacing w:val="0"/>
          <w:sz w:val="24"/>
          <w:szCs w:val="24"/>
        </w:rPr>
        <w:fldChar w:fldCharType="separate"/>
      </w:r>
      <w:r>
        <w:rPr>
          <w:rFonts w:hint="default" w:ascii="Times New Roman" w:hAnsi="Times New Roman" w:eastAsia="Constantia" w:cs="Times New Roman"/>
          <w:b w:val="0"/>
          <w:bCs w:val="0"/>
          <w:spacing w:val="0"/>
          <w:sz w:val="24"/>
          <w:szCs w:val="24"/>
        </w:rPr>
        <w:t>10.4135/9781526401502</w:t>
      </w:r>
      <w:r>
        <w:rPr>
          <w:rFonts w:hint="default" w:ascii="Times New Roman" w:hAnsi="Times New Roman" w:eastAsia="Constantia" w:cs="Times New Roman"/>
          <w:b w:val="0"/>
          <w:bCs w:val="0"/>
          <w:spacing w:val="0"/>
          <w:sz w:val="24"/>
          <w:szCs w:val="24"/>
        </w:rPr>
        <w:fldChar w:fldCharType="end"/>
      </w:r>
    </w:p>
    <w:p w14:paraId="446AEEA4">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Benjamin, W. (1968). The work of art in the age of mechanical reproduction. In H. Arendt (Ed.), </w:t>
      </w:r>
      <w:r>
        <w:rPr>
          <w:rFonts w:hint="default" w:ascii="Times New Roman" w:hAnsi="Times New Roman" w:eastAsia="Constantia" w:cs="Times New Roman"/>
          <w:b w:val="0"/>
          <w:bCs w:val="0"/>
          <w:i/>
          <w:iCs/>
          <w:spacing w:val="0"/>
          <w:sz w:val="24"/>
          <w:szCs w:val="24"/>
        </w:rPr>
        <w:t>Illuminations</w:t>
      </w:r>
      <w:r>
        <w:rPr>
          <w:rFonts w:hint="default" w:ascii="Times New Roman" w:hAnsi="Times New Roman" w:eastAsia="Constantia" w:cs="Times New Roman"/>
          <w:b w:val="0"/>
          <w:bCs w:val="0"/>
          <w:spacing w:val="0"/>
          <w:sz w:val="24"/>
          <w:szCs w:val="24"/>
        </w:rPr>
        <w:t xml:space="preserve"> (pp. 217–251). Schocken.</w:t>
      </w:r>
      <w:r>
        <w:rPr>
          <w:rFonts w:hint="default" w:ascii="Times New Roman" w:hAnsi="Times New Roman" w:eastAsia="宋体" w:cs="Times New Roman"/>
          <w:b w:val="0"/>
          <w:bCs w:val="0"/>
          <w:spacing w:val="0"/>
          <w:sz w:val="24"/>
          <w:szCs w:val="24"/>
          <w:lang w:val="en-US" w:eastAsia="zh-CN"/>
        </w:rPr>
        <w:t xml:space="preserve"> https://www.ebsco.com/research-starters/arts-and-entertainment/work-art-age-mechanical-reproduction-walter-benjamin</w:t>
      </w:r>
    </w:p>
    <w:p w14:paraId="5D7C56AC">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Constantia" w:cs="Times New Roman"/>
          <w:b w:val="0"/>
          <w:bCs w:val="0"/>
          <w:spacing w:val="0"/>
          <w:sz w:val="24"/>
          <w:szCs w:val="24"/>
        </w:rPr>
      </w:pPr>
      <w:r>
        <w:rPr>
          <w:rFonts w:hint="default" w:ascii="Times New Roman" w:hAnsi="Times New Roman" w:eastAsia="Constantia" w:cs="Times New Roman"/>
          <w:b w:val="0"/>
          <w:bCs w:val="0"/>
          <w:spacing w:val="0"/>
          <w:sz w:val="24"/>
          <w:szCs w:val="24"/>
        </w:rPr>
        <w:t xml:space="preserve">Bourdieu, P. (1984). </w:t>
      </w:r>
      <w:r>
        <w:rPr>
          <w:rFonts w:hint="default" w:ascii="Times New Roman" w:hAnsi="Times New Roman" w:eastAsia="Constantia" w:cs="Times New Roman"/>
          <w:b w:val="0"/>
          <w:bCs w:val="0"/>
          <w:i/>
          <w:iCs/>
          <w:spacing w:val="0"/>
          <w:sz w:val="24"/>
          <w:szCs w:val="24"/>
        </w:rPr>
        <w:t>Distinction: A social critique of the judgement of taste</w:t>
      </w:r>
      <w:r>
        <w:rPr>
          <w:rFonts w:hint="default" w:ascii="Times New Roman" w:hAnsi="Times New Roman" w:eastAsia="Constantia" w:cs="Times New Roman"/>
          <w:b w:val="0"/>
          <w:bCs w:val="0"/>
          <w:spacing w:val="0"/>
          <w:sz w:val="24"/>
          <w:szCs w:val="24"/>
        </w:rPr>
        <w:t xml:space="preserve"> (R. Nice, Trans.). Harvard University Press.</w:t>
      </w:r>
    </w:p>
    <w:p w14:paraId="0D23AF20">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Ellis, C., Adams, T. E., &amp; Bochner, A. P. (2011). Autoethnography: An overview. </w:t>
      </w:r>
      <w:r>
        <w:rPr>
          <w:rFonts w:hint="default" w:ascii="Times New Roman" w:hAnsi="Times New Roman" w:eastAsia="Constantia" w:cs="Times New Roman"/>
          <w:b w:val="0"/>
          <w:bCs w:val="0"/>
          <w:i/>
          <w:iCs/>
          <w:spacing w:val="0"/>
          <w:sz w:val="24"/>
          <w:szCs w:val="24"/>
        </w:rPr>
        <w:t>Historical Social Research, 36(4),</w:t>
      </w:r>
      <w:r>
        <w:rPr>
          <w:rFonts w:hint="default" w:ascii="Times New Roman" w:hAnsi="Times New Roman" w:eastAsia="Constantia" w:cs="Times New Roman"/>
          <w:b w:val="0"/>
          <w:bCs w:val="0"/>
          <w:spacing w:val="0"/>
          <w:sz w:val="24"/>
          <w:szCs w:val="24"/>
        </w:rPr>
        <w:t xml:space="preserve"> 273–290.</w:t>
      </w:r>
      <w:r>
        <w:rPr>
          <w:rFonts w:hint="default" w:ascii="Times New Roman" w:hAnsi="Times New Roman" w:eastAsia="Constantia"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t>https://www.jstor.org/stable/23032294</w:t>
      </w:r>
    </w:p>
    <w:p w14:paraId="67F0A864">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Goffman, E. (1963). </w:t>
      </w:r>
      <w:r>
        <w:rPr>
          <w:rFonts w:hint="default" w:ascii="Times New Roman" w:hAnsi="Times New Roman" w:eastAsia="Constantia" w:cs="Times New Roman"/>
          <w:b w:val="0"/>
          <w:bCs w:val="0"/>
          <w:i/>
          <w:iCs/>
          <w:spacing w:val="0"/>
          <w:sz w:val="24"/>
          <w:szCs w:val="24"/>
        </w:rPr>
        <w:t>Behavior in public places</w:t>
      </w:r>
      <w:r>
        <w:rPr>
          <w:rFonts w:hint="default" w:ascii="Times New Roman" w:hAnsi="Times New Roman" w:eastAsia="Constantia" w:cs="Times New Roman"/>
          <w:b w:val="0"/>
          <w:bCs w:val="0"/>
          <w:spacing w:val="0"/>
          <w:sz w:val="24"/>
          <w:szCs w:val="24"/>
        </w:rPr>
        <w:t>. Free Press.</w:t>
      </w:r>
      <w:r>
        <w:rPr>
          <w:rFonts w:hint="default" w:ascii="Times New Roman" w:hAnsi="Times New Roman" w:eastAsia="宋体"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t>doi:10.1017/S000305540013566X</w:t>
      </w:r>
    </w:p>
    <w:p w14:paraId="10CC6A2F">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Goffman, E. (1967). </w:t>
      </w:r>
      <w:r>
        <w:rPr>
          <w:rFonts w:hint="default" w:ascii="Times New Roman" w:hAnsi="Times New Roman" w:eastAsia="Constantia" w:cs="Times New Roman"/>
          <w:b w:val="0"/>
          <w:bCs w:val="0"/>
          <w:i/>
          <w:iCs/>
          <w:spacing w:val="0"/>
          <w:sz w:val="24"/>
          <w:szCs w:val="24"/>
        </w:rPr>
        <w:t>Interaction ritual</w:t>
      </w:r>
      <w:r>
        <w:rPr>
          <w:rFonts w:hint="default" w:ascii="Times New Roman" w:hAnsi="Times New Roman" w:eastAsia="Constantia" w:cs="Times New Roman"/>
          <w:b w:val="0"/>
          <w:bCs w:val="0"/>
          <w:spacing w:val="0"/>
          <w:sz w:val="24"/>
          <w:szCs w:val="24"/>
        </w:rPr>
        <w:t>. Pantheon.</w:t>
      </w:r>
      <w:r>
        <w:rPr>
          <w:rFonts w:hint="default" w:ascii="Times New Roman" w:hAnsi="Times New Roman" w:eastAsia="Constantia"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fldChar w:fldCharType="begin"/>
      </w:r>
      <w:r>
        <w:rPr>
          <w:rFonts w:hint="default" w:ascii="Times New Roman" w:hAnsi="Times New Roman" w:eastAsia="Constantia" w:cs="Times New Roman"/>
          <w:b w:val="0"/>
          <w:bCs w:val="0"/>
          <w:spacing w:val="0"/>
          <w:sz w:val="24"/>
          <w:szCs w:val="24"/>
        </w:rPr>
        <w:instrText xml:space="preserve"> HYPERLINK "https://doi.org/10.4324/9780203788387" \t "https://www.taylorfrancis.com/books/mono/10.4324/9780203788387/_blank" </w:instrText>
      </w:r>
      <w:r>
        <w:rPr>
          <w:rFonts w:hint="default" w:ascii="Times New Roman" w:hAnsi="Times New Roman" w:eastAsia="Constantia" w:cs="Times New Roman"/>
          <w:b w:val="0"/>
          <w:bCs w:val="0"/>
          <w:spacing w:val="0"/>
          <w:sz w:val="24"/>
          <w:szCs w:val="24"/>
        </w:rPr>
        <w:fldChar w:fldCharType="separate"/>
      </w:r>
      <w:r>
        <w:rPr>
          <w:rFonts w:hint="default" w:ascii="Times New Roman" w:hAnsi="Times New Roman" w:eastAsia="Constantia" w:cs="Times New Roman"/>
          <w:b w:val="0"/>
          <w:bCs w:val="0"/>
          <w:spacing w:val="0"/>
          <w:sz w:val="24"/>
          <w:szCs w:val="24"/>
        </w:rPr>
        <w:t>https://doi.org/10.4324/9780203788387</w:t>
      </w:r>
      <w:r>
        <w:rPr>
          <w:rFonts w:hint="default" w:ascii="Times New Roman" w:hAnsi="Times New Roman" w:eastAsia="Constantia" w:cs="Times New Roman"/>
          <w:b w:val="0"/>
          <w:bCs w:val="0"/>
          <w:spacing w:val="0"/>
          <w:sz w:val="24"/>
          <w:szCs w:val="24"/>
        </w:rPr>
        <w:fldChar w:fldCharType="end"/>
      </w:r>
    </w:p>
    <w:p w14:paraId="258B943C">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Kozinets, R. V., Sherry, J. F., DeBerry-Spence, B., Duhachek, A., Nuttavuthisit, K., &amp; Storm, D. (2004). Ludic agency and retail spectacle. </w:t>
      </w:r>
      <w:r>
        <w:rPr>
          <w:rFonts w:hint="default" w:ascii="Times New Roman" w:hAnsi="Times New Roman" w:eastAsia="Constantia" w:cs="Times New Roman"/>
          <w:b w:val="0"/>
          <w:bCs w:val="0"/>
          <w:i/>
          <w:iCs/>
          <w:spacing w:val="0"/>
          <w:sz w:val="24"/>
          <w:szCs w:val="24"/>
        </w:rPr>
        <w:t>Journal of Consumer Research, 31(3),</w:t>
      </w:r>
      <w:r>
        <w:rPr>
          <w:rFonts w:hint="default" w:ascii="Times New Roman" w:hAnsi="Times New Roman" w:eastAsia="Constantia" w:cs="Times New Roman"/>
          <w:b w:val="0"/>
          <w:bCs w:val="0"/>
          <w:spacing w:val="0"/>
          <w:sz w:val="24"/>
          <w:szCs w:val="24"/>
        </w:rPr>
        <w:t xml:space="preserve"> 658–672.</w:t>
      </w:r>
      <w:r>
        <w:rPr>
          <w:rFonts w:hint="default" w:ascii="Times New Roman" w:hAnsi="Times New Roman" w:eastAsia="Constantia"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t>https://doi.org/10.1086/425101</w:t>
      </w:r>
    </w:p>
    <w:p w14:paraId="7BEC4611">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Constantia" w:cs="Times New Roman"/>
          <w:b w:val="0"/>
          <w:bCs w:val="0"/>
          <w:spacing w:val="0"/>
          <w:sz w:val="24"/>
          <w:szCs w:val="24"/>
        </w:rPr>
      </w:pPr>
      <w:r>
        <w:rPr>
          <w:rFonts w:hint="default" w:ascii="Times New Roman" w:hAnsi="Times New Roman" w:eastAsia="Constantia" w:cs="Times New Roman"/>
          <w:b w:val="0"/>
          <w:bCs w:val="0"/>
          <w:spacing w:val="0"/>
          <w:sz w:val="24"/>
          <w:szCs w:val="24"/>
        </w:rPr>
        <w:t>McCracken, G. (1986). Culture and consumption</w:t>
      </w:r>
      <w:r>
        <w:rPr>
          <w:rFonts w:hint="default" w:ascii="Times New Roman" w:hAnsi="Times New Roman" w:eastAsia="Times" w:cs="Times New Roman"/>
          <w:i w:val="0"/>
          <w:iCs w:val="0"/>
          <w:caps w:val="0"/>
          <w:color w:val="000000"/>
          <w:spacing w:val="-2"/>
          <w:sz w:val="24"/>
          <w:szCs w:val="24"/>
        </w:rPr>
        <w:t>: A Theoretical Account of the Structure and Movement of the Cultural Meaning of Consumer Goods</w:t>
      </w:r>
      <w:r>
        <w:rPr>
          <w:rFonts w:hint="default" w:ascii="Times New Roman" w:hAnsi="Times New Roman" w:eastAsia="Constantia" w:cs="Times New Roman"/>
          <w:b w:val="0"/>
          <w:bCs w:val="0"/>
          <w:spacing w:val="0"/>
          <w:sz w:val="24"/>
          <w:szCs w:val="24"/>
        </w:rPr>
        <w:t xml:space="preserve">. </w:t>
      </w:r>
      <w:r>
        <w:rPr>
          <w:rFonts w:hint="default" w:ascii="Times New Roman" w:hAnsi="Times New Roman" w:eastAsia="Constantia" w:cs="Times New Roman"/>
          <w:b w:val="0"/>
          <w:bCs w:val="0"/>
          <w:i/>
          <w:iCs/>
          <w:spacing w:val="0"/>
          <w:sz w:val="24"/>
          <w:szCs w:val="24"/>
        </w:rPr>
        <w:t>Journal of Consumer Research, 13(1),</w:t>
      </w:r>
      <w:r>
        <w:rPr>
          <w:rFonts w:hint="default" w:ascii="Times New Roman" w:hAnsi="Times New Roman" w:eastAsia="Constantia" w:cs="Times New Roman"/>
          <w:b w:val="0"/>
          <w:bCs w:val="0"/>
          <w:spacing w:val="0"/>
          <w:sz w:val="24"/>
          <w:szCs w:val="24"/>
        </w:rPr>
        <w:t xml:space="preserve"> 71–84.</w:t>
      </w:r>
      <w:r>
        <w:rPr>
          <w:rFonts w:hint="default" w:ascii="Times New Roman" w:hAnsi="Times New Roman" w:eastAsia="宋体" w:cs="Times New Roman"/>
          <w:b w:val="0"/>
          <w:bCs w:val="0"/>
          <w:spacing w:val="0"/>
          <w:sz w:val="24"/>
          <w:szCs w:val="24"/>
          <w:lang w:val="en-US" w:eastAsia="zh-CN"/>
        </w:rPr>
        <w:t xml:space="preserve"> </w:t>
      </w:r>
      <w:r>
        <w:rPr>
          <w:rFonts w:hint="default" w:ascii="Times New Roman" w:hAnsi="Times New Roman" w:eastAsia="Times" w:cs="Times New Roman"/>
          <w:i w:val="0"/>
          <w:iCs w:val="0"/>
          <w:caps w:val="0"/>
          <w:color w:val="000000"/>
          <w:spacing w:val="-2"/>
          <w:sz w:val="24"/>
          <w:szCs w:val="24"/>
        </w:rPr>
        <w:t>https://www.jstor.org/stable/2489287</w:t>
      </w:r>
    </w:p>
    <w:p w14:paraId="43BCEA4F">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 xml:space="preserve">Mehta, V. (2019). Streets and social life in cities: a taxonomy of sociability. </w:t>
      </w:r>
      <w:r>
        <w:rPr>
          <w:rFonts w:hint="default" w:ascii="Times New Roman" w:hAnsi="Times New Roman" w:eastAsia="Constantia" w:cs="Times New Roman"/>
          <w:b w:val="0"/>
          <w:bCs w:val="0"/>
          <w:i/>
          <w:iCs/>
          <w:spacing w:val="0"/>
          <w:sz w:val="24"/>
          <w:szCs w:val="24"/>
        </w:rPr>
        <w:t>Urban Design International, 24(1),</w:t>
      </w:r>
      <w:r>
        <w:rPr>
          <w:rFonts w:hint="default" w:ascii="Times New Roman" w:hAnsi="Times New Roman" w:eastAsia="Constantia" w:cs="Times New Roman"/>
          <w:b w:val="0"/>
          <w:bCs w:val="0"/>
          <w:spacing w:val="0"/>
          <w:sz w:val="24"/>
          <w:szCs w:val="24"/>
        </w:rPr>
        <w:t xml:space="preserve"> 16–37.</w:t>
      </w:r>
      <w:r>
        <w:rPr>
          <w:rFonts w:hint="default" w:ascii="Times New Roman" w:hAnsi="Times New Roman" w:eastAsia="Constantia" w:cs="Times New Roman"/>
          <w:b w:val="0"/>
          <w:bCs w:val="0"/>
          <w:spacing w:val="0"/>
          <w:sz w:val="24"/>
          <w:szCs w:val="24"/>
          <w:lang w:val="en-US" w:eastAsia="zh-CN"/>
        </w:rPr>
        <w:t xml:space="preserve"> </w:t>
      </w:r>
      <w:r>
        <w:rPr>
          <w:rFonts w:hint="default" w:ascii="Times New Roman" w:hAnsi="Times New Roman" w:eastAsia="Constantia" w:cs="Times New Roman"/>
          <w:b w:val="0"/>
          <w:bCs w:val="0"/>
          <w:spacing w:val="0"/>
          <w:sz w:val="24"/>
          <w:szCs w:val="24"/>
        </w:rPr>
        <w:t>https://doi.org/10.1057/s41289-018-0069-9</w:t>
      </w:r>
    </w:p>
    <w:p w14:paraId="6C73A6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480" w:lineRule="auto"/>
        <w:ind w:left="0" w:right="0" w:firstLine="0"/>
        <w:jc w:val="left"/>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Noble, G. (2013). Cosmopolitan habits</w:t>
      </w:r>
      <w:r>
        <w:rPr>
          <w:rFonts w:hint="default" w:ascii="Times New Roman" w:hAnsi="Times New Roman" w:eastAsia="Constantia" w:cs="Times New Roman"/>
          <w:b w:val="0"/>
          <w:bCs w:val="0"/>
          <w:snapToGrid w:val="0"/>
          <w:color w:val="000000"/>
          <w:spacing w:val="0"/>
          <w:kern w:val="0"/>
          <w:sz w:val="24"/>
          <w:szCs w:val="24"/>
          <w:lang w:val="en-US" w:eastAsia="en-US" w:bidi="ar-SA"/>
        </w:rPr>
        <w:fldChar w:fldCharType="begin"/>
      </w:r>
      <w:r>
        <w:rPr>
          <w:rFonts w:hint="default" w:ascii="Times New Roman" w:hAnsi="Times New Roman" w:eastAsia="Constantia" w:cs="Times New Roman"/>
          <w:b w:val="0"/>
          <w:bCs w:val="0"/>
          <w:snapToGrid w:val="0"/>
          <w:color w:val="000000"/>
          <w:spacing w:val="0"/>
          <w:kern w:val="0"/>
          <w:sz w:val="24"/>
          <w:szCs w:val="24"/>
          <w:lang w:val="en-US" w:eastAsia="en-US" w:bidi="ar-SA"/>
        </w:rPr>
        <w:instrText xml:space="preserve"> HYPERLINK "https://philpapers.org/go.pl?id=NOBCHT&amp;proxyId=&amp;u=https://dx.doi.org/10.1177/1357034x12474477" </w:instrText>
      </w:r>
      <w:r>
        <w:rPr>
          <w:rFonts w:hint="default" w:ascii="Times New Roman" w:hAnsi="Times New Roman" w:eastAsia="Constantia" w:cs="Times New Roman"/>
          <w:b w:val="0"/>
          <w:bCs w:val="0"/>
          <w:snapToGrid w:val="0"/>
          <w:color w:val="000000"/>
          <w:spacing w:val="0"/>
          <w:kern w:val="0"/>
          <w:sz w:val="24"/>
          <w:szCs w:val="24"/>
          <w:lang w:val="en-US" w:eastAsia="en-US" w:bidi="ar-SA"/>
        </w:rPr>
        <w:fldChar w:fldCharType="separate"/>
      </w:r>
      <w:r>
        <w:rPr>
          <w:rFonts w:hint="default" w:ascii="Times New Roman" w:hAnsi="Times New Roman" w:eastAsia="Constantia" w:cs="Times New Roman"/>
          <w:b w:val="0"/>
          <w:bCs w:val="0"/>
          <w:snapToGrid w:val="0"/>
          <w:color w:val="000000"/>
          <w:spacing w:val="0"/>
          <w:kern w:val="0"/>
          <w:sz w:val="24"/>
          <w:szCs w:val="24"/>
          <w:lang w:val="en-US" w:eastAsia="en-US" w:bidi="ar-SA"/>
        </w:rPr>
        <w:t>: The Capacities and Habitats of Intercultural Conviviality</w:t>
      </w:r>
      <w:r>
        <w:rPr>
          <w:rFonts w:hint="default" w:ascii="Times New Roman" w:hAnsi="Times New Roman" w:eastAsia="Constantia" w:cs="Times New Roman"/>
          <w:b w:val="0"/>
          <w:bCs w:val="0"/>
          <w:snapToGrid w:val="0"/>
          <w:color w:val="000000"/>
          <w:spacing w:val="0"/>
          <w:kern w:val="0"/>
          <w:sz w:val="24"/>
          <w:szCs w:val="24"/>
          <w:lang w:val="en-US" w:eastAsia="en-US" w:bidi="ar-SA"/>
        </w:rPr>
        <w:fldChar w:fldCharType="end"/>
      </w:r>
      <w:r>
        <w:rPr>
          <w:rFonts w:hint="default" w:ascii="Times New Roman" w:hAnsi="Times New Roman" w:eastAsia="Constantia" w:cs="Times New Roman"/>
          <w:b w:val="0"/>
          <w:bCs w:val="0"/>
          <w:spacing w:val="0"/>
          <w:sz w:val="24"/>
          <w:szCs w:val="24"/>
        </w:rPr>
        <w:t xml:space="preserve">. </w:t>
      </w:r>
      <w:r>
        <w:rPr>
          <w:rFonts w:hint="default" w:ascii="Times New Roman" w:hAnsi="Times New Roman" w:eastAsia="Constantia" w:cs="Times New Roman"/>
          <w:b w:val="0"/>
          <w:bCs w:val="0"/>
          <w:i/>
          <w:iCs/>
          <w:spacing w:val="0"/>
          <w:sz w:val="24"/>
          <w:szCs w:val="24"/>
        </w:rPr>
        <w:t>Body &amp; Society, 19(2–3),</w:t>
      </w:r>
      <w:r>
        <w:rPr>
          <w:rFonts w:hint="default" w:ascii="Times New Roman" w:hAnsi="Times New Roman" w:eastAsia="Constantia" w:cs="Times New Roman"/>
          <w:b w:val="0"/>
          <w:bCs w:val="0"/>
          <w:spacing w:val="0"/>
          <w:sz w:val="24"/>
          <w:szCs w:val="24"/>
        </w:rPr>
        <w:t xml:space="preserve"> 162–185</w:t>
      </w:r>
      <w:r>
        <w:rPr>
          <w:rFonts w:hint="default" w:ascii="Times New Roman" w:hAnsi="Times New Roman" w:eastAsia="Constantia" w:cs="Times New Roman"/>
          <w:b w:val="0"/>
          <w:bCs w:val="0"/>
          <w:snapToGrid w:val="0"/>
          <w:color w:val="000000"/>
          <w:spacing w:val="0"/>
          <w:kern w:val="0"/>
          <w:sz w:val="24"/>
          <w:szCs w:val="24"/>
          <w:lang w:val="en-US" w:eastAsia="en-US" w:bidi="ar-SA"/>
        </w:rPr>
        <w:t>.</w:t>
      </w:r>
      <w:r>
        <w:rPr>
          <w:rFonts w:hint="default" w:ascii="Times New Roman" w:hAnsi="Times New Roman" w:eastAsia="Constantia" w:cs="Times New Roman"/>
          <w:b w:val="0"/>
          <w:bCs w:val="0"/>
          <w:snapToGrid w:val="0"/>
          <w:color w:val="000000"/>
          <w:spacing w:val="0"/>
          <w:kern w:val="0"/>
          <w:sz w:val="24"/>
          <w:szCs w:val="24"/>
          <w:lang w:val="en-US" w:eastAsia="zh-CN" w:bidi="ar-SA"/>
        </w:rPr>
        <w:t xml:space="preserve"> doi: </w:t>
      </w:r>
      <w:r>
        <w:rPr>
          <w:rFonts w:hint="default" w:ascii="Times New Roman" w:hAnsi="Times New Roman" w:eastAsia="Constantia" w:cs="Times New Roman"/>
          <w:b w:val="0"/>
          <w:bCs w:val="0"/>
          <w:snapToGrid w:val="0"/>
          <w:color w:val="000000"/>
          <w:spacing w:val="0"/>
          <w:kern w:val="0"/>
          <w:sz w:val="24"/>
          <w:szCs w:val="24"/>
          <w:lang w:val="en-US" w:eastAsia="en-US" w:bidi="ar-SA"/>
        </w:rPr>
        <w:t>10.1177/1357034x12474477</w:t>
      </w:r>
    </w:p>
    <w:p w14:paraId="5A756B99">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宋体" w:cs="Times New Roman"/>
          <w:b w:val="0"/>
          <w:bCs w:val="0"/>
          <w:spacing w:val="0"/>
          <w:sz w:val="24"/>
          <w:szCs w:val="24"/>
          <w:lang w:val="en-US" w:eastAsia="zh-CN"/>
        </w:rPr>
      </w:pPr>
      <w:r>
        <w:rPr>
          <w:rFonts w:hint="default" w:ascii="Times New Roman" w:hAnsi="Times New Roman" w:eastAsia="Constantia" w:cs="Times New Roman"/>
          <w:b w:val="0"/>
          <w:bCs w:val="0"/>
          <w:spacing w:val="0"/>
          <w:sz w:val="24"/>
          <w:szCs w:val="24"/>
        </w:rPr>
        <w:t>Watson, S. (2009). The magic of the marketplace</w:t>
      </w:r>
      <w:r>
        <w:rPr>
          <w:rFonts w:hint="default" w:ascii="Times New Roman" w:hAnsi="Times New Roman" w:eastAsia="Times" w:cs="Times New Roman"/>
          <w:i w:val="0"/>
          <w:iCs w:val="0"/>
          <w:caps w:val="0"/>
          <w:color w:val="000000"/>
          <w:spacing w:val="-2"/>
          <w:sz w:val="24"/>
          <w:szCs w:val="24"/>
        </w:rPr>
        <w:t>: Sociality in a Neglected Public Space</w:t>
      </w:r>
      <w:r>
        <w:rPr>
          <w:rFonts w:hint="default" w:ascii="Times New Roman" w:hAnsi="Times New Roman" w:eastAsia="Constantia" w:cs="Times New Roman"/>
          <w:b w:val="0"/>
          <w:bCs w:val="0"/>
          <w:spacing w:val="0"/>
          <w:sz w:val="24"/>
          <w:szCs w:val="24"/>
        </w:rPr>
        <w:t xml:space="preserve">. </w:t>
      </w:r>
      <w:r>
        <w:rPr>
          <w:rFonts w:hint="default" w:ascii="Times New Roman" w:hAnsi="Times New Roman" w:eastAsia="Constantia" w:cs="Times New Roman"/>
          <w:b w:val="0"/>
          <w:bCs w:val="0"/>
          <w:i/>
          <w:iCs/>
          <w:spacing w:val="0"/>
          <w:sz w:val="24"/>
          <w:szCs w:val="24"/>
        </w:rPr>
        <w:t>Urban Studies,</w:t>
      </w:r>
      <w:r>
        <w:rPr>
          <w:rFonts w:hint="default" w:ascii="Times New Roman" w:hAnsi="Times New Roman" w:eastAsia="Constantia" w:cs="Times New Roman"/>
          <w:b w:val="0"/>
          <w:bCs w:val="0"/>
          <w:spacing w:val="0"/>
          <w:sz w:val="24"/>
          <w:szCs w:val="24"/>
        </w:rPr>
        <w:t xml:space="preserve"> </w:t>
      </w:r>
      <w:r>
        <w:rPr>
          <w:rFonts w:hint="default" w:ascii="Times New Roman" w:hAnsi="Times New Roman" w:eastAsia="Constantia" w:cs="Times New Roman"/>
          <w:b w:val="0"/>
          <w:bCs w:val="0"/>
          <w:i/>
          <w:iCs/>
          <w:spacing w:val="0"/>
          <w:sz w:val="24"/>
          <w:szCs w:val="24"/>
        </w:rPr>
        <w:t>46(8),</w:t>
      </w:r>
      <w:r>
        <w:rPr>
          <w:rFonts w:hint="default" w:ascii="Times New Roman" w:hAnsi="Times New Roman" w:eastAsia="Constantia" w:cs="Times New Roman"/>
          <w:b w:val="0"/>
          <w:bCs w:val="0"/>
          <w:spacing w:val="0"/>
          <w:sz w:val="24"/>
          <w:szCs w:val="24"/>
        </w:rPr>
        <w:t xml:space="preserve"> 1577–1591.</w:t>
      </w:r>
      <w:r>
        <w:rPr>
          <w:rFonts w:hint="default" w:ascii="Times New Roman" w:hAnsi="Times New Roman" w:eastAsia="Constantia" w:cs="Times New Roman"/>
          <w:b w:val="0"/>
          <w:bCs w:val="0"/>
          <w:snapToGrid w:val="0"/>
          <w:color w:val="000000"/>
          <w:spacing w:val="0"/>
          <w:kern w:val="0"/>
          <w:sz w:val="24"/>
          <w:szCs w:val="24"/>
          <w:lang w:val="en-US" w:eastAsia="zh-CN" w:bidi="ar-SA"/>
        </w:rPr>
        <w:t xml:space="preserve"> </w:t>
      </w:r>
      <w:r>
        <w:rPr>
          <w:rFonts w:hint="default" w:ascii="Times New Roman" w:hAnsi="Times New Roman" w:eastAsia="Constantia" w:cs="Times New Roman"/>
          <w:b w:val="0"/>
          <w:bCs w:val="0"/>
          <w:snapToGrid w:val="0"/>
          <w:color w:val="000000"/>
          <w:spacing w:val="0"/>
          <w:kern w:val="0"/>
          <w:sz w:val="24"/>
          <w:szCs w:val="24"/>
          <w:lang w:val="en-US" w:eastAsia="en-US" w:bidi="ar-SA"/>
        </w:rPr>
        <w:t>https://www.jstor.org/stable/43198495</w:t>
      </w:r>
    </w:p>
    <w:p w14:paraId="3F1834BD">
      <w:pPr>
        <w:keepNext w:val="0"/>
        <w:keepLines w:val="0"/>
        <w:pageBreakBefore w:val="0"/>
        <w:widowControl/>
        <w:kinsoku w:val="0"/>
        <w:wordWrap/>
        <w:overflowPunct/>
        <w:topLinePunct w:val="0"/>
        <w:autoSpaceDE w:val="0"/>
        <w:autoSpaceDN w:val="0"/>
        <w:bidi w:val="0"/>
        <w:adjustRightInd w:val="0"/>
        <w:snapToGrid w:val="0"/>
        <w:spacing w:before="35" w:line="480" w:lineRule="auto"/>
        <w:ind w:left="0" w:hanging="480" w:hangingChars="200"/>
        <w:textAlignment w:val="baseline"/>
        <w:rPr>
          <w:rFonts w:hint="default" w:ascii="Times New Roman" w:hAnsi="Times New Roman" w:eastAsia="Constantia" w:cs="Times New Roman"/>
          <w:b w:val="0"/>
          <w:bCs w:val="0"/>
          <w:spacing w:val="0"/>
          <w:sz w:val="24"/>
          <w:szCs w:val="24"/>
        </w:rPr>
      </w:pPr>
      <w:r>
        <w:rPr>
          <w:rFonts w:hint="default" w:ascii="Times New Roman" w:hAnsi="Times New Roman" w:eastAsia="Constantia" w:cs="Times New Roman"/>
          <w:b w:val="0"/>
          <w:bCs w:val="0"/>
          <w:spacing w:val="0"/>
          <w:sz w:val="24"/>
          <w:szCs w:val="24"/>
        </w:rPr>
        <w:t xml:space="preserve">Xu, M. (2025). Beyond consumption? </w:t>
      </w:r>
      <w:r>
        <w:rPr>
          <w:rFonts w:hint="default" w:ascii="Times New Roman" w:hAnsi="Times New Roman" w:eastAsia="Constantia" w:cs="Times New Roman"/>
          <w:b w:val="0"/>
          <w:bCs w:val="0"/>
          <w:i/>
          <w:iCs/>
          <w:spacing w:val="0"/>
          <w:sz w:val="24"/>
          <w:szCs w:val="24"/>
        </w:rPr>
        <w:t>Journal of Intercultural Studies</w:t>
      </w:r>
      <w:r>
        <w:rPr>
          <w:rFonts w:hint="default" w:ascii="Times New Roman" w:hAnsi="Times New Roman" w:eastAsia="Constantia" w:cs="Times New Roman"/>
          <w:b w:val="0"/>
          <w:bCs w:val="0"/>
          <w:spacing w:val="0"/>
          <w:sz w:val="24"/>
          <w:szCs w:val="24"/>
        </w:rPr>
        <w:t>. https://doi.org/10.1080/07256868.2025.2469232</w:t>
      </w:r>
    </w:p>
    <w:p w14:paraId="639E0B26">
      <w:pPr>
        <w:spacing w:before="74" w:line="499" w:lineRule="auto"/>
        <w:ind w:left="442" w:right="355" w:firstLine="2"/>
        <w:rPr>
          <w:rFonts w:hint="default" w:ascii="Times New Roman" w:hAnsi="Times New Roman" w:eastAsia="Constantia" w:cs="Times New Roman"/>
          <w:b/>
          <w:bCs/>
          <w:spacing w:val="-10"/>
          <w:sz w:val="24"/>
          <w:szCs w:val="24"/>
        </w:rPr>
      </w:pPr>
    </w:p>
    <w:sectPr>
      <w:pgSz w:w="11907" w:h="16839"/>
      <w:pgMar w:top="1429" w:right="1786" w:bottom="1429" w:left="1786"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Constantia">
    <w:panose1 w:val="02030602050306030303"/>
    <w:charset w:val="00"/>
    <w:family w:val="auto"/>
    <w:pitch w:val="default"/>
    <w:sig w:usb0="A00002EF" w:usb1="4000204B" w:usb2="00000000" w:usb3="00000000" w:csb0="2000019F" w:csb1="00000000"/>
  </w:font>
  <w:font w:name="Times">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A9FACC"/>
    <w:multiLevelType w:val="singleLevel"/>
    <w:tmpl w:val="81A9FACC"/>
    <w:lvl w:ilvl="0" w:tentative="0">
      <w:start w:val="1"/>
      <w:numFmt w:val="bullet"/>
      <w:pStyle w:val="4"/>
      <w:lvlText w:val=""/>
      <w:lvlJc w:val="left"/>
      <w:pPr>
        <w:tabs>
          <w:tab w:val="left" w:pos="360"/>
        </w:tabs>
        <w:ind w:left="36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7D1FF4"/>
    <w:rsid w:val="104863BD"/>
    <w:rsid w:val="1B222279"/>
    <w:rsid w:val="1C5832EC"/>
    <w:rsid w:val="215441C8"/>
    <w:rsid w:val="22F33EFC"/>
    <w:rsid w:val="24F862A5"/>
    <w:rsid w:val="2A890B07"/>
    <w:rsid w:val="30A30F68"/>
    <w:rsid w:val="319B6BB5"/>
    <w:rsid w:val="39127534"/>
    <w:rsid w:val="3A746389"/>
    <w:rsid w:val="43050F2A"/>
    <w:rsid w:val="43572EF0"/>
    <w:rsid w:val="488519D4"/>
    <w:rsid w:val="4A591535"/>
    <w:rsid w:val="4BFB49C8"/>
    <w:rsid w:val="4C2B6E0E"/>
    <w:rsid w:val="4C2C4C3E"/>
    <w:rsid w:val="5E2A2EEB"/>
    <w:rsid w:val="5F874639"/>
    <w:rsid w:val="65422176"/>
    <w:rsid w:val="6BB5749F"/>
    <w:rsid w:val="6C345EF6"/>
    <w:rsid w:val="6CEB4832"/>
    <w:rsid w:val="70133315"/>
    <w:rsid w:val="70DD41CA"/>
    <w:rsid w:val="75630D65"/>
    <w:rsid w:val="79A206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List Bullet"/>
    <w:basedOn w:val="1"/>
    <w:uiPriority w:val="0"/>
    <w:pPr>
      <w:numPr>
        <w:ilvl w:val="0"/>
        <w:numId w:val="1"/>
      </w:numPr>
    </w:pPr>
  </w:style>
  <w:style w:type="paragraph" w:styleId="5">
    <w:name w:val="Body Text"/>
    <w:basedOn w:val="1"/>
    <w:semiHidden/>
    <w:qFormat/>
    <w:uiPriority w:val="0"/>
    <w:rPr>
      <w:rFonts w:ascii="Arial" w:hAnsi="Arial" w:eastAsia="Arial" w:cs="Arial"/>
      <w:sz w:val="21"/>
      <w:szCs w:val="21"/>
      <w:lang w:val="en-US" w:eastAsia="en-US" w:bidi="ar-SA"/>
    </w:rPr>
  </w:style>
  <w:style w:type="character" w:styleId="8">
    <w:name w:val="Strong"/>
    <w:basedOn w:val="7"/>
    <w:qFormat/>
    <w:uiPriority w:val="0"/>
    <w:rPr>
      <w:b/>
    </w:rPr>
  </w:style>
  <w:style w:type="character" w:styleId="9">
    <w:name w:val="Hyperlink"/>
    <w:basedOn w:val="7"/>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2535</Words>
  <Characters>17942</Characters>
  <TotalTime>1</TotalTime>
  <ScaleCrop>false</ScaleCrop>
  <LinksUpToDate>false</LinksUpToDate>
  <CharactersWithSpaces>20428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2024-01-11T17:54:00Z</dcterms:created>
  <dc:creator>Xueshi Emma Li</dc:creator>
  <cp:lastModifiedBy>惨绿少年</cp:lastModifiedBy>
  <dcterms:modified xsi:type="dcterms:W3CDTF">2026-07-31T03:47:25Z</dcterms:modified>
  <dc:title>Microsoft Word - EXCELLENT.docx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2026-04-28T22:32:20Z</vt:filetime>
  </property>
  <property fmtid="{D5CDD505-2E9C-101B-9397-08002B2CF9AE}" pid="4" name="KSOTemplateDocerSaveRecord">
    <vt:lpwstr>eyJoZGlkIjoiN2MwOTRlNDFjODEzNjFjZThkZWJiMWM3YmNjOWFmMDgiLCJ1c2VySWQiOiIxMjI5NTQxNzI0In0=</vt:lpwstr>
  </property>
  <property fmtid="{D5CDD505-2E9C-101B-9397-08002B2CF9AE}" pid="5" name="KSOProductBuildVer">
    <vt:lpwstr>2052-12.1.0.26895</vt:lpwstr>
  </property>
  <property fmtid="{D5CDD505-2E9C-101B-9397-08002B2CF9AE}" pid="6" name="ICV">
    <vt:lpwstr>2882250B5B84427687DEF767861C9CF4_12</vt:lpwstr>
  </property>
</Properties>
</file>